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2DF3B" w14:textId="77777777" w:rsidR="003836EC" w:rsidRDefault="0021615B">
      <w:r>
        <w:t xml:space="preserve"> </w:t>
      </w:r>
      <w:r>
        <w:rPr>
          <w:noProof/>
        </w:rPr>
        <w:drawing>
          <wp:inline distT="0" distB="0" distL="0" distR="0" wp14:anchorId="6D91B244" wp14:editId="0970DD28">
            <wp:extent cx="1885950" cy="600075"/>
            <wp:effectExtent l="0" t="0" r="0" b="9525"/>
            <wp:docPr id="1" name="Picture 1" descr="aspentech_blue_logo_198x63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entech_blue_logo_198x63 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85950" cy="600075"/>
                    </a:xfrm>
                    <a:prstGeom prst="rect">
                      <a:avLst/>
                    </a:prstGeom>
                    <a:noFill/>
                    <a:ln>
                      <a:noFill/>
                    </a:ln>
                  </pic:spPr>
                </pic:pic>
              </a:graphicData>
            </a:graphic>
          </wp:inline>
        </w:drawing>
      </w:r>
    </w:p>
    <w:p w14:paraId="10CA82C0" w14:textId="77777777" w:rsidR="003836EC" w:rsidRDefault="003836EC"/>
    <w:p w14:paraId="4406A896" w14:textId="77777777" w:rsidR="003836EC" w:rsidRDefault="0021615B">
      <w:pPr>
        <w:rPr>
          <w:b/>
          <w:sz w:val="22"/>
        </w:rPr>
      </w:pPr>
      <w:r>
        <w:rPr>
          <w:sz w:val="22"/>
        </w:rPr>
        <w:t xml:space="preserve">Contacts: </w:t>
      </w:r>
      <w:r>
        <w:rPr>
          <w:sz w:val="22"/>
        </w:rPr>
        <w:tab/>
      </w:r>
    </w:p>
    <w:p w14:paraId="4E7E5C1B" w14:textId="77777777" w:rsidR="003836EC" w:rsidRDefault="0021615B">
      <w:pPr>
        <w:ind w:left="720" w:firstLine="720"/>
        <w:rPr>
          <w:sz w:val="22"/>
        </w:rPr>
      </w:pPr>
      <w:r>
        <w:rPr>
          <w:b/>
          <w:sz w:val="22"/>
        </w:rPr>
        <w:t>Media Contact</w:t>
      </w:r>
      <w:r>
        <w:rPr>
          <w:b/>
          <w:sz w:val="22"/>
        </w:rPr>
        <w:tab/>
      </w:r>
      <w:r>
        <w:rPr>
          <w:sz w:val="22"/>
        </w:rPr>
        <w:tab/>
      </w:r>
      <w:r>
        <w:rPr>
          <w:sz w:val="22"/>
        </w:rPr>
        <w:tab/>
      </w:r>
      <w:r>
        <w:rPr>
          <w:sz w:val="22"/>
        </w:rPr>
        <w:tab/>
      </w:r>
      <w:r>
        <w:rPr>
          <w:b/>
          <w:sz w:val="22"/>
        </w:rPr>
        <w:t>Investor Contact</w:t>
      </w:r>
    </w:p>
    <w:p w14:paraId="60A05AF0" w14:textId="77777777" w:rsidR="003836EC" w:rsidRDefault="0021615B">
      <w:pPr>
        <w:ind w:left="720" w:firstLine="720"/>
        <w:rPr>
          <w:sz w:val="22"/>
        </w:rPr>
      </w:pPr>
      <w:r>
        <w:rPr>
          <w:sz w:val="22"/>
        </w:rPr>
        <w:t>David Grip</w:t>
      </w:r>
      <w:r>
        <w:rPr>
          <w:sz w:val="22"/>
        </w:rPr>
        <w:tab/>
      </w:r>
      <w:r>
        <w:rPr>
          <w:sz w:val="22"/>
        </w:rPr>
        <w:tab/>
      </w:r>
      <w:r>
        <w:rPr>
          <w:sz w:val="22"/>
        </w:rPr>
        <w:tab/>
      </w:r>
      <w:r>
        <w:rPr>
          <w:sz w:val="22"/>
        </w:rPr>
        <w:tab/>
        <w:t xml:space="preserve">Brian </w:t>
      </w:r>
      <w:proofErr w:type="spellStart"/>
      <w:r>
        <w:rPr>
          <w:sz w:val="22"/>
        </w:rPr>
        <w:t>Denyeau</w:t>
      </w:r>
      <w:proofErr w:type="spellEnd"/>
    </w:p>
    <w:p w14:paraId="02CD8EF2" w14:textId="77777777" w:rsidR="003836EC" w:rsidRDefault="0021615B">
      <w:pPr>
        <w:rPr>
          <w:sz w:val="22"/>
        </w:rPr>
      </w:pPr>
      <w:r>
        <w:rPr>
          <w:sz w:val="22"/>
        </w:rPr>
        <w:tab/>
      </w:r>
      <w:r>
        <w:rPr>
          <w:sz w:val="22"/>
        </w:rPr>
        <w:tab/>
      </w:r>
      <w:proofErr w:type="spellStart"/>
      <w:r>
        <w:rPr>
          <w:sz w:val="22"/>
        </w:rPr>
        <w:t>AspenTech</w:t>
      </w:r>
      <w:proofErr w:type="spellEnd"/>
      <w:r>
        <w:rPr>
          <w:sz w:val="22"/>
        </w:rPr>
        <w:tab/>
      </w:r>
      <w:r>
        <w:rPr>
          <w:sz w:val="22"/>
        </w:rPr>
        <w:tab/>
      </w:r>
      <w:r>
        <w:rPr>
          <w:sz w:val="22"/>
        </w:rPr>
        <w:tab/>
      </w:r>
      <w:r>
        <w:rPr>
          <w:sz w:val="22"/>
        </w:rPr>
        <w:tab/>
        <w:t>ICR</w:t>
      </w:r>
    </w:p>
    <w:p w14:paraId="22F180A7" w14:textId="77777777" w:rsidR="003836EC" w:rsidRDefault="0021615B">
      <w:pPr>
        <w:rPr>
          <w:sz w:val="22"/>
        </w:rPr>
      </w:pPr>
      <w:r>
        <w:rPr>
          <w:sz w:val="22"/>
        </w:rPr>
        <w:tab/>
      </w:r>
      <w:r>
        <w:rPr>
          <w:sz w:val="22"/>
        </w:rPr>
        <w:tab/>
        <w:t>+1 781-221-5273</w:t>
      </w:r>
      <w:r>
        <w:rPr>
          <w:sz w:val="22"/>
        </w:rPr>
        <w:tab/>
      </w:r>
      <w:r>
        <w:rPr>
          <w:sz w:val="22"/>
        </w:rPr>
        <w:tab/>
      </w:r>
      <w:r>
        <w:rPr>
          <w:sz w:val="22"/>
        </w:rPr>
        <w:tab/>
        <w:t>+1 646-277-1251</w:t>
      </w:r>
    </w:p>
    <w:p w14:paraId="25E15CFD" w14:textId="77777777" w:rsidR="003836EC" w:rsidRDefault="0021615B">
      <w:pPr>
        <w:rPr>
          <w:sz w:val="22"/>
        </w:rPr>
      </w:pPr>
      <w:r>
        <w:rPr>
          <w:sz w:val="22"/>
        </w:rPr>
        <w:tab/>
      </w:r>
      <w:r>
        <w:rPr>
          <w:sz w:val="22"/>
        </w:rPr>
        <w:tab/>
        <w:t xml:space="preserve">david.grip@aspentech.com </w:t>
      </w:r>
      <w:r>
        <w:rPr>
          <w:sz w:val="22"/>
        </w:rPr>
        <w:tab/>
      </w:r>
      <w:r>
        <w:rPr>
          <w:sz w:val="22"/>
        </w:rPr>
        <w:tab/>
        <w:t>brian.denyeau@icrinc.com</w:t>
      </w:r>
    </w:p>
    <w:p w14:paraId="51B929FB" w14:textId="77777777" w:rsidR="003836EC" w:rsidRDefault="003836EC">
      <w:pPr>
        <w:rPr>
          <w:sz w:val="18"/>
          <w:szCs w:val="20"/>
        </w:rPr>
      </w:pPr>
    </w:p>
    <w:p w14:paraId="478C5461" w14:textId="77777777" w:rsidR="003836EC" w:rsidRDefault="003836EC">
      <w:pPr>
        <w:rPr>
          <w:sz w:val="20"/>
          <w:szCs w:val="20"/>
        </w:rPr>
      </w:pPr>
    </w:p>
    <w:p w14:paraId="6D8DF10A" w14:textId="77777777" w:rsidR="003836EC" w:rsidRDefault="0021615B">
      <w:pPr>
        <w:jc w:val="center"/>
        <w:rPr>
          <w:b/>
          <w:color w:val="000000"/>
          <w:sz w:val="28"/>
          <w:szCs w:val="28"/>
        </w:rPr>
      </w:pPr>
      <w:r>
        <w:rPr>
          <w:b/>
          <w:color w:val="000000"/>
          <w:sz w:val="28"/>
          <w:szCs w:val="28"/>
        </w:rPr>
        <w:t>Aspen Technology Announces Financial Results for the</w:t>
      </w:r>
    </w:p>
    <w:p w14:paraId="79650ABC" w14:textId="77777777" w:rsidR="003836EC" w:rsidRDefault="0021615B">
      <w:pPr>
        <w:jc w:val="center"/>
        <w:rPr>
          <w:b/>
          <w:color w:val="000000"/>
          <w:sz w:val="28"/>
          <w:szCs w:val="28"/>
        </w:rPr>
      </w:pPr>
      <w:r>
        <w:rPr>
          <w:b/>
          <w:color w:val="000000"/>
          <w:sz w:val="28"/>
          <w:szCs w:val="28"/>
        </w:rPr>
        <w:t>First Quarter of Fiscal 2018</w:t>
      </w:r>
    </w:p>
    <w:p w14:paraId="3459C31C" w14:textId="77777777" w:rsidR="003836EC" w:rsidRDefault="003836EC">
      <w:pPr>
        <w:jc w:val="center"/>
        <w:rPr>
          <w:i/>
          <w:color w:val="000000"/>
        </w:rPr>
      </w:pPr>
    </w:p>
    <w:p w14:paraId="729EE9E7" w14:textId="77777777" w:rsidR="003836EC" w:rsidRDefault="0021615B">
      <w:pPr>
        <w:jc w:val="both"/>
        <w:rPr>
          <w:color w:val="000000"/>
          <w:sz w:val="22"/>
          <w:szCs w:val="22"/>
        </w:rPr>
      </w:pPr>
      <w:r>
        <w:rPr>
          <w:b/>
          <w:bCs/>
          <w:color w:val="000000"/>
          <w:sz w:val="22"/>
          <w:szCs w:val="22"/>
        </w:rPr>
        <w:t xml:space="preserve">Bedford, Mass. – October 26, 2017 </w:t>
      </w:r>
      <w:r>
        <w:rPr>
          <w:color w:val="000000"/>
          <w:sz w:val="22"/>
          <w:szCs w:val="22"/>
        </w:rPr>
        <w:t xml:space="preserve">– Aspen Technology, Inc. (NASDAQ: AZPN), </w:t>
      </w:r>
      <w:r>
        <w:rPr>
          <w:sz w:val="22"/>
          <w:szCs w:val="22"/>
        </w:rPr>
        <w:t>the asset optimization software company</w:t>
      </w:r>
      <w:r>
        <w:rPr>
          <w:color w:val="000000"/>
          <w:sz w:val="22"/>
          <w:szCs w:val="22"/>
        </w:rPr>
        <w:t xml:space="preserve">, </w:t>
      </w:r>
      <w:r>
        <w:rPr>
          <w:rFonts w:eastAsia="Calibri"/>
          <w:color w:val="000000"/>
          <w:sz w:val="22"/>
          <w:szCs w:val="22"/>
        </w:rPr>
        <w:t xml:space="preserve">today announced </w:t>
      </w:r>
      <w:r>
        <w:rPr>
          <w:color w:val="000000"/>
          <w:sz w:val="22"/>
          <w:szCs w:val="22"/>
        </w:rPr>
        <w:t>financial results for its first quarter of fiscal year 2018, ended September 30, 2017.</w:t>
      </w:r>
    </w:p>
    <w:p w14:paraId="55802FDD" w14:textId="77777777" w:rsidR="003836EC" w:rsidRDefault="003836EC">
      <w:pPr>
        <w:jc w:val="both"/>
        <w:rPr>
          <w:rFonts w:eastAsia="Calibri"/>
          <w:color w:val="000000"/>
          <w:sz w:val="22"/>
          <w:szCs w:val="22"/>
        </w:rPr>
      </w:pPr>
    </w:p>
    <w:p w14:paraId="31B90F52" w14:textId="77777777" w:rsidR="003836EC" w:rsidRDefault="0021615B">
      <w:pPr>
        <w:autoSpaceDE w:val="0"/>
        <w:autoSpaceDN w:val="0"/>
        <w:adjustRightInd w:val="0"/>
        <w:jc w:val="both"/>
        <w:rPr>
          <w:rFonts w:eastAsia="Calibri"/>
          <w:color w:val="000000"/>
          <w:sz w:val="22"/>
          <w:szCs w:val="22"/>
        </w:rPr>
      </w:pPr>
      <w:r>
        <w:rPr>
          <w:rFonts w:eastAsia="Calibri"/>
          <w:color w:val="000000"/>
          <w:sz w:val="22"/>
          <w:szCs w:val="22"/>
        </w:rPr>
        <w:t>“</w:t>
      </w:r>
      <w:proofErr w:type="spellStart"/>
      <w:r>
        <w:rPr>
          <w:rFonts w:eastAsia="Calibri"/>
          <w:color w:val="000000"/>
          <w:sz w:val="22"/>
          <w:szCs w:val="22"/>
        </w:rPr>
        <w:t>AspenTech</w:t>
      </w:r>
      <w:proofErr w:type="spellEnd"/>
      <w:r>
        <w:rPr>
          <w:rFonts w:eastAsia="Calibri"/>
          <w:color w:val="000000"/>
          <w:sz w:val="22"/>
          <w:szCs w:val="22"/>
        </w:rPr>
        <w:t xml:space="preserve"> delivered a solid start to fiscal 2018 with financial results that exceeded </w:t>
      </w:r>
      <w:r w:rsidR="00F95A4F">
        <w:rPr>
          <w:rFonts w:eastAsia="Calibri"/>
          <w:color w:val="000000"/>
          <w:sz w:val="22"/>
          <w:szCs w:val="22"/>
        </w:rPr>
        <w:t xml:space="preserve">our </w:t>
      </w:r>
      <w:r>
        <w:rPr>
          <w:rFonts w:eastAsia="Calibri"/>
          <w:color w:val="000000"/>
          <w:sz w:val="22"/>
          <w:szCs w:val="22"/>
        </w:rPr>
        <w:t xml:space="preserve">expectations, driven by positive, broad-based demand from owner-operator customers,” said Antonio </w:t>
      </w:r>
      <w:proofErr w:type="spellStart"/>
      <w:r>
        <w:rPr>
          <w:rFonts w:eastAsia="Calibri"/>
          <w:color w:val="000000"/>
          <w:sz w:val="22"/>
          <w:szCs w:val="22"/>
        </w:rPr>
        <w:t>Pietri</w:t>
      </w:r>
      <w:proofErr w:type="spellEnd"/>
      <w:r>
        <w:rPr>
          <w:rFonts w:eastAsia="Calibri"/>
          <w:color w:val="000000"/>
          <w:sz w:val="22"/>
          <w:szCs w:val="22"/>
        </w:rPr>
        <w:t xml:space="preserve">, President and Chief Executive Officer of </w:t>
      </w:r>
      <w:proofErr w:type="spellStart"/>
      <w:r>
        <w:rPr>
          <w:rFonts w:eastAsia="Calibri"/>
          <w:color w:val="000000"/>
          <w:sz w:val="22"/>
          <w:szCs w:val="22"/>
        </w:rPr>
        <w:t>AspenTech</w:t>
      </w:r>
      <w:proofErr w:type="spellEnd"/>
      <w:r>
        <w:rPr>
          <w:rFonts w:eastAsia="Calibri"/>
          <w:color w:val="000000"/>
          <w:sz w:val="22"/>
          <w:szCs w:val="22"/>
        </w:rPr>
        <w:t xml:space="preserve">. </w:t>
      </w:r>
    </w:p>
    <w:p w14:paraId="238D950F" w14:textId="77777777" w:rsidR="003836EC" w:rsidRDefault="003836EC">
      <w:pPr>
        <w:autoSpaceDE w:val="0"/>
        <w:autoSpaceDN w:val="0"/>
        <w:adjustRightInd w:val="0"/>
        <w:jc w:val="both"/>
        <w:rPr>
          <w:color w:val="000000"/>
          <w:sz w:val="22"/>
          <w:szCs w:val="22"/>
        </w:rPr>
      </w:pPr>
    </w:p>
    <w:p w14:paraId="099C12E1" w14:textId="2FE5862E" w:rsidR="003836EC" w:rsidRDefault="0021615B">
      <w:pPr>
        <w:autoSpaceDE w:val="0"/>
        <w:autoSpaceDN w:val="0"/>
        <w:adjustRightInd w:val="0"/>
        <w:jc w:val="both"/>
        <w:rPr>
          <w:color w:val="000000"/>
          <w:sz w:val="22"/>
          <w:szCs w:val="22"/>
        </w:rPr>
      </w:pPr>
      <w:proofErr w:type="spellStart"/>
      <w:r>
        <w:rPr>
          <w:rFonts w:eastAsia="Calibri"/>
          <w:color w:val="000000"/>
          <w:sz w:val="22"/>
          <w:szCs w:val="22"/>
        </w:rPr>
        <w:t>Pietri</w:t>
      </w:r>
      <w:proofErr w:type="spellEnd"/>
      <w:r>
        <w:rPr>
          <w:rFonts w:eastAsia="Calibri"/>
          <w:color w:val="000000"/>
          <w:sz w:val="22"/>
          <w:szCs w:val="22"/>
        </w:rPr>
        <w:t xml:space="preserve"> continued, “During the quarter we continued to execute well against our Asset Optimization strategy and develop momentum among prospective customers for the APM product suite, which we believe positions us to enhance the value we </w:t>
      </w:r>
      <w:bookmarkStart w:id="0" w:name="_GoBack"/>
      <w:bookmarkEnd w:id="0"/>
      <w:r>
        <w:rPr>
          <w:rFonts w:eastAsia="Calibri"/>
          <w:color w:val="000000"/>
          <w:sz w:val="22"/>
          <w:szCs w:val="22"/>
        </w:rPr>
        <w:t>deliver to both our customers and shareholders over the long term.</w:t>
      </w:r>
      <w:r>
        <w:rPr>
          <w:color w:val="000000"/>
          <w:sz w:val="22"/>
          <w:szCs w:val="22"/>
        </w:rPr>
        <w:t>”</w:t>
      </w:r>
    </w:p>
    <w:p w14:paraId="438CFE95" w14:textId="77777777" w:rsidR="003836EC" w:rsidRDefault="003836EC">
      <w:pPr>
        <w:autoSpaceDE w:val="0"/>
        <w:autoSpaceDN w:val="0"/>
        <w:adjustRightInd w:val="0"/>
        <w:jc w:val="both"/>
        <w:rPr>
          <w:color w:val="000000"/>
          <w:sz w:val="22"/>
          <w:szCs w:val="22"/>
        </w:rPr>
      </w:pPr>
    </w:p>
    <w:p w14:paraId="130F607D" w14:textId="77777777" w:rsidR="003836EC" w:rsidRDefault="003836EC">
      <w:pPr>
        <w:autoSpaceDE w:val="0"/>
        <w:autoSpaceDN w:val="0"/>
        <w:adjustRightInd w:val="0"/>
        <w:jc w:val="both"/>
        <w:rPr>
          <w:rFonts w:eastAsia="Calibri"/>
          <w:color w:val="000000"/>
          <w:sz w:val="22"/>
          <w:szCs w:val="22"/>
        </w:rPr>
      </w:pPr>
    </w:p>
    <w:p w14:paraId="4FF56464" w14:textId="77777777" w:rsidR="003836EC" w:rsidRDefault="0021615B">
      <w:pPr>
        <w:autoSpaceDE w:val="0"/>
        <w:autoSpaceDN w:val="0"/>
        <w:adjustRightInd w:val="0"/>
        <w:rPr>
          <w:rFonts w:eastAsia="Calibri"/>
          <w:b/>
          <w:bCs/>
          <w:sz w:val="22"/>
          <w:szCs w:val="22"/>
        </w:rPr>
      </w:pPr>
      <w:r>
        <w:rPr>
          <w:rFonts w:eastAsia="Calibri"/>
          <w:b/>
          <w:bCs/>
          <w:sz w:val="22"/>
          <w:szCs w:val="22"/>
        </w:rPr>
        <w:t>First Quarter Fiscal 2018 and Recent Business Highlights</w:t>
      </w:r>
    </w:p>
    <w:p w14:paraId="14192706" w14:textId="77777777" w:rsidR="003836EC" w:rsidRDefault="003836EC">
      <w:pPr>
        <w:autoSpaceDE w:val="0"/>
        <w:autoSpaceDN w:val="0"/>
        <w:adjustRightInd w:val="0"/>
        <w:jc w:val="both"/>
        <w:rPr>
          <w:rFonts w:eastAsia="Calibri"/>
          <w:b/>
          <w:bCs/>
          <w:sz w:val="22"/>
          <w:szCs w:val="22"/>
        </w:rPr>
      </w:pPr>
    </w:p>
    <w:p w14:paraId="405C7778" w14:textId="77777777" w:rsidR="00250A66" w:rsidRPr="00BA7BF2" w:rsidRDefault="00250A66" w:rsidP="00250A66">
      <w:pPr>
        <w:numPr>
          <w:ilvl w:val="0"/>
          <w:numId w:val="5"/>
        </w:numPr>
        <w:autoSpaceDE w:val="0"/>
        <w:autoSpaceDN w:val="0"/>
        <w:adjustRightInd w:val="0"/>
        <w:jc w:val="both"/>
        <w:rPr>
          <w:rFonts w:eastAsia="Calibri"/>
          <w:bCs/>
          <w:sz w:val="22"/>
          <w:szCs w:val="22"/>
        </w:rPr>
      </w:pPr>
      <w:r w:rsidRPr="00BA7BF2">
        <w:rPr>
          <w:rFonts w:eastAsia="Calibri"/>
          <w:bCs/>
          <w:sz w:val="22"/>
          <w:szCs w:val="22"/>
        </w:rPr>
        <w:t>Annual spend, which the company defines as the annualized value of all term license and maintenance contracts at the end of the quarter, was approximately $461 million at the end of the first quarter of fiscal 2018, which increased 3.3% compared to the first quarter of fiscal 2017 and 0.3% sequentially.</w:t>
      </w:r>
    </w:p>
    <w:p w14:paraId="6740083A" w14:textId="77777777" w:rsidR="003836EC" w:rsidRPr="00BA7BF2" w:rsidRDefault="003836EC">
      <w:pPr>
        <w:autoSpaceDE w:val="0"/>
        <w:autoSpaceDN w:val="0"/>
        <w:adjustRightInd w:val="0"/>
        <w:jc w:val="both"/>
        <w:rPr>
          <w:rFonts w:eastAsia="Calibri"/>
          <w:bCs/>
          <w:sz w:val="22"/>
          <w:szCs w:val="22"/>
        </w:rPr>
      </w:pPr>
    </w:p>
    <w:p w14:paraId="1E887DED" w14:textId="7971CBC2" w:rsidR="003836EC" w:rsidRPr="00BA7BF2" w:rsidRDefault="0021615B">
      <w:pPr>
        <w:pStyle w:val="ListParagraph"/>
        <w:numPr>
          <w:ilvl w:val="0"/>
          <w:numId w:val="5"/>
        </w:numPr>
        <w:jc w:val="both"/>
        <w:rPr>
          <w:rFonts w:eastAsia="Calibri"/>
          <w:bCs/>
          <w:sz w:val="22"/>
          <w:szCs w:val="22"/>
        </w:rPr>
      </w:pPr>
      <w:r w:rsidRPr="00BA7BF2">
        <w:rPr>
          <w:rFonts w:eastAsia="Calibri"/>
          <w:bCs/>
          <w:sz w:val="22"/>
          <w:szCs w:val="22"/>
        </w:rPr>
        <w:t xml:space="preserve">GAAP operating margin was 43.4%, compared to 45.6% in the first quarter of fiscal 2017.  Non-GAAP operating margin was 49.2%, compared to 50.4% in the first quarter of fiscal 2017. </w:t>
      </w:r>
    </w:p>
    <w:p w14:paraId="7553B34D" w14:textId="77777777" w:rsidR="003836EC" w:rsidRDefault="003836EC">
      <w:pPr>
        <w:pStyle w:val="ListParagraph"/>
        <w:jc w:val="both"/>
        <w:rPr>
          <w:rFonts w:eastAsia="Calibri"/>
          <w:bCs/>
          <w:sz w:val="22"/>
          <w:szCs w:val="22"/>
        </w:rPr>
      </w:pPr>
    </w:p>
    <w:p w14:paraId="271298BF" w14:textId="77777777" w:rsidR="003836EC" w:rsidRDefault="0021615B">
      <w:pPr>
        <w:numPr>
          <w:ilvl w:val="0"/>
          <w:numId w:val="5"/>
        </w:numPr>
        <w:autoSpaceDE w:val="0"/>
        <w:autoSpaceDN w:val="0"/>
        <w:adjustRightInd w:val="0"/>
        <w:jc w:val="both"/>
        <w:rPr>
          <w:rFonts w:eastAsia="Calibri"/>
          <w:bCs/>
          <w:sz w:val="22"/>
          <w:szCs w:val="22"/>
        </w:rPr>
      </w:pPr>
      <w:proofErr w:type="spellStart"/>
      <w:r>
        <w:rPr>
          <w:rFonts w:eastAsia="Calibri"/>
          <w:bCs/>
          <w:sz w:val="22"/>
          <w:szCs w:val="22"/>
        </w:rPr>
        <w:t>AspenTech</w:t>
      </w:r>
      <w:proofErr w:type="spellEnd"/>
      <w:r>
        <w:rPr>
          <w:rFonts w:eastAsia="Calibri"/>
          <w:bCs/>
          <w:sz w:val="22"/>
          <w:szCs w:val="22"/>
        </w:rPr>
        <w:t xml:space="preserve"> repurchased </w:t>
      </w:r>
      <w:r w:rsidR="008E6325">
        <w:rPr>
          <w:rFonts w:eastAsia="Calibri"/>
          <w:bCs/>
          <w:sz w:val="22"/>
          <w:szCs w:val="22"/>
        </w:rPr>
        <w:t xml:space="preserve">approximately </w:t>
      </w:r>
      <w:r>
        <w:rPr>
          <w:rFonts w:eastAsia="Calibri"/>
          <w:bCs/>
          <w:sz w:val="22"/>
          <w:szCs w:val="22"/>
        </w:rPr>
        <w:t>839,000 shares of its common stock for $50.0 million in the first quarter of fiscal 2018.</w:t>
      </w:r>
    </w:p>
    <w:p w14:paraId="0F7A8FF6" w14:textId="77777777" w:rsidR="003836EC" w:rsidRDefault="003836EC">
      <w:pPr>
        <w:autoSpaceDE w:val="0"/>
        <w:autoSpaceDN w:val="0"/>
        <w:adjustRightInd w:val="0"/>
        <w:jc w:val="both"/>
        <w:rPr>
          <w:rFonts w:eastAsia="Calibri"/>
          <w:b/>
          <w:color w:val="000000"/>
          <w:sz w:val="22"/>
          <w:szCs w:val="22"/>
        </w:rPr>
      </w:pPr>
    </w:p>
    <w:p w14:paraId="6BF18929" w14:textId="77777777" w:rsidR="003836EC" w:rsidRDefault="0021615B">
      <w:pPr>
        <w:autoSpaceDE w:val="0"/>
        <w:autoSpaceDN w:val="0"/>
        <w:adjustRightInd w:val="0"/>
        <w:jc w:val="both"/>
        <w:rPr>
          <w:rFonts w:eastAsia="Calibri"/>
          <w:b/>
          <w:color w:val="000000"/>
          <w:sz w:val="22"/>
          <w:szCs w:val="22"/>
        </w:rPr>
      </w:pPr>
      <w:r>
        <w:rPr>
          <w:rFonts w:eastAsia="Calibri"/>
          <w:b/>
          <w:color w:val="000000"/>
          <w:sz w:val="22"/>
          <w:szCs w:val="22"/>
        </w:rPr>
        <w:t>Summary of First Quarter Fiscal Year 2018 Financial Results</w:t>
      </w:r>
    </w:p>
    <w:p w14:paraId="2C27DDF6" w14:textId="77777777" w:rsidR="003836EC" w:rsidRDefault="003836EC">
      <w:pPr>
        <w:autoSpaceDE w:val="0"/>
        <w:autoSpaceDN w:val="0"/>
        <w:adjustRightInd w:val="0"/>
        <w:jc w:val="both"/>
        <w:rPr>
          <w:rFonts w:eastAsia="Calibri"/>
          <w:b/>
          <w:color w:val="000000"/>
          <w:sz w:val="22"/>
          <w:szCs w:val="22"/>
        </w:rPr>
      </w:pPr>
    </w:p>
    <w:p w14:paraId="107AE7C8" w14:textId="77777777" w:rsidR="003836EC" w:rsidRDefault="0021615B">
      <w:pPr>
        <w:jc w:val="both"/>
        <w:rPr>
          <w:sz w:val="22"/>
          <w:szCs w:val="22"/>
        </w:rPr>
      </w:pPr>
      <w:proofErr w:type="spellStart"/>
      <w:r>
        <w:rPr>
          <w:sz w:val="22"/>
          <w:szCs w:val="22"/>
        </w:rPr>
        <w:t>AspenTech’s</w:t>
      </w:r>
      <w:proofErr w:type="spellEnd"/>
      <w:r>
        <w:rPr>
          <w:sz w:val="22"/>
          <w:szCs w:val="22"/>
        </w:rPr>
        <w:t xml:space="preserve"> total revenue of $</w:t>
      </w:r>
      <w:r>
        <w:rPr>
          <w:rFonts w:eastAsia="Calibri"/>
          <w:bCs/>
          <w:sz w:val="22"/>
          <w:szCs w:val="22"/>
        </w:rPr>
        <w:t>122.8</w:t>
      </w:r>
      <w:r>
        <w:rPr>
          <w:sz w:val="22"/>
          <w:szCs w:val="22"/>
        </w:rPr>
        <w:t xml:space="preserve"> million included:  </w:t>
      </w:r>
    </w:p>
    <w:p w14:paraId="561AAD16" w14:textId="77777777" w:rsidR="003836EC" w:rsidRDefault="003836EC">
      <w:pPr>
        <w:jc w:val="both"/>
        <w:rPr>
          <w:sz w:val="22"/>
          <w:szCs w:val="22"/>
        </w:rPr>
      </w:pPr>
    </w:p>
    <w:p w14:paraId="586EFF21" w14:textId="77777777" w:rsidR="003836EC" w:rsidRDefault="0021615B">
      <w:pPr>
        <w:pStyle w:val="ListParagraph"/>
        <w:numPr>
          <w:ilvl w:val="0"/>
          <w:numId w:val="6"/>
        </w:numPr>
        <w:jc w:val="both"/>
        <w:rPr>
          <w:sz w:val="22"/>
          <w:szCs w:val="22"/>
        </w:rPr>
      </w:pPr>
      <w:r>
        <w:rPr>
          <w:b/>
          <w:bCs/>
          <w:sz w:val="22"/>
          <w:szCs w:val="22"/>
        </w:rPr>
        <w:t xml:space="preserve">Subscription and software revenue </w:t>
      </w:r>
      <w:r>
        <w:rPr>
          <w:sz w:val="22"/>
          <w:szCs w:val="22"/>
        </w:rPr>
        <w:t>was $</w:t>
      </w:r>
      <w:r>
        <w:rPr>
          <w:rFonts w:eastAsia="Calibri"/>
          <w:bCs/>
          <w:sz w:val="22"/>
          <w:szCs w:val="22"/>
        </w:rPr>
        <w:t>115.8</w:t>
      </w:r>
      <w:r>
        <w:rPr>
          <w:sz w:val="22"/>
          <w:szCs w:val="22"/>
        </w:rPr>
        <w:t xml:space="preserve"> million in the first quarter of fiscal 2018, an increase from $113.4 million in the first quarter of fiscal 2017.  </w:t>
      </w:r>
    </w:p>
    <w:p w14:paraId="353E8289" w14:textId="77777777" w:rsidR="003836EC" w:rsidRDefault="0021615B">
      <w:pPr>
        <w:numPr>
          <w:ilvl w:val="0"/>
          <w:numId w:val="4"/>
        </w:numPr>
        <w:spacing w:before="100" w:beforeAutospacing="1" w:after="150"/>
        <w:jc w:val="both"/>
        <w:rPr>
          <w:b/>
          <w:bCs/>
          <w:sz w:val="22"/>
          <w:szCs w:val="22"/>
        </w:rPr>
      </w:pPr>
      <w:r>
        <w:rPr>
          <w:b/>
          <w:bCs/>
          <w:sz w:val="22"/>
          <w:szCs w:val="22"/>
        </w:rPr>
        <w:t xml:space="preserve">Services and other revenue </w:t>
      </w:r>
      <w:r>
        <w:rPr>
          <w:sz w:val="22"/>
          <w:szCs w:val="22"/>
        </w:rPr>
        <w:t>was $</w:t>
      </w:r>
      <w:r>
        <w:rPr>
          <w:rFonts w:eastAsia="Calibri"/>
          <w:bCs/>
          <w:sz w:val="22"/>
          <w:szCs w:val="22"/>
        </w:rPr>
        <w:t xml:space="preserve">7.0 </w:t>
      </w:r>
      <w:r>
        <w:rPr>
          <w:sz w:val="22"/>
          <w:szCs w:val="22"/>
        </w:rPr>
        <w:t xml:space="preserve">million in the first quarter of fiscal 2018, compared to $6.6 million in the first quarter of fiscal 2017.  </w:t>
      </w:r>
    </w:p>
    <w:p w14:paraId="3A228AAD" w14:textId="77777777" w:rsidR="003836EC" w:rsidRDefault="0021615B">
      <w:pPr>
        <w:autoSpaceDE w:val="0"/>
        <w:autoSpaceDN w:val="0"/>
        <w:adjustRightInd w:val="0"/>
        <w:jc w:val="both"/>
        <w:rPr>
          <w:color w:val="000000"/>
          <w:sz w:val="22"/>
          <w:szCs w:val="22"/>
        </w:rPr>
      </w:pPr>
      <w:r>
        <w:rPr>
          <w:bCs/>
          <w:color w:val="000000"/>
          <w:sz w:val="22"/>
          <w:szCs w:val="22"/>
        </w:rPr>
        <w:t>For the quarter ended September 30, 2017</w:t>
      </w:r>
      <w:r>
        <w:rPr>
          <w:color w:val="000000"/>
          <w:sz w:val="22"/>
          <w:szCs w:val="22"/>
        </w:rPr>
        <w:t xml:space="preserve">, </w:t>
      </w:r>
      <w:proofErr w:type="spellStart"/>
      <w:r>
        <w:rPr>
          <w:color w:val="000000"/>
          <w:sz w:val="22"/>
          <w:szCs w:val="22"/>
        </w:rPr>
        <w:t>AspenTech</w:t>
      </w:r>
      <w:proofErr w:type="spellEnd"/>
      <w:r>
        <w:rPr>
          <w:color w:val="000000"/>
          <w:sz w:val="22"/>
          <w:szCs w:val="22"/>
        </w:rPr>
        <w:t xml:space="preserve"> reported income from operations of $</w:t>
      </w:r>
      <w:r>
        <w:rPr>
          <w:rFonts w:eastAsia="Calibri"/>
          <w:bCs/>
          <w:sz w:val="22"/>
          <w:szCs w:val="22"/>
        </w:rPr>
        <w:t xml:space="preserve">53.3 </w:t>
      </w:r>
      <w:r>
        <w:rPr>
          <w:color w:val="000000"/>
          <w:sz w:val="22"/>
          <w:szCs w:val="22"/>
        </w:rPr>
        <w:t xml:space="preserve">million, compared to income from operations of $54.7 million for the quarter ended September 30, 2016.  </w:t>
      </w:r>
    </w:p>
    <w:p w14:paraId="5A2EDE92" w14:textId="77777777" w:rsidR="003836EC" w:rsidRDefault="003836EC">
      <w:pPr>
        <w:autoSpaceDE w:val="0"/>
        <w:autoSpaceDN w:val="0"/>
        <w:adjustRightInd w:val="0"/>
        <w:jc w:val="both"/>
        <w:rPr>
          <w:color w:val="000000"/>
          <w:sz w:val="22"/>
          <w:szCs w:val="22"/>
        </w:rPr>
      </w:pPr>
    </w:p>
    <w:p w14:paraId="531D6B11" w14:textId="6F4DFD8B" w:rsidR="003836EC" w:rsidRDefault="0021615B">
      <w:pPr>
        <w:autoSpaceDE w:val="0"/>
        <w:autoSpaceDN w:val="0"/>
        <w:adjustRightInd w:val="0"/>
        <w:jc w:val="both"/>
        <w:rPr>
          <w:b/>
          <w:i/>
          <w:sz w:val="22"/>
          <w:szCs w:val="22"/>
        </w:rPr>
      </w:pPr>
      <w:r>
        <w:rPr>
          <w:sz w:val="22"/>
          <w:szCs w:val="22"/>
        </w:rPr>
        <w:lastRenderedPageBreak/>
        <w:t>Net income was $</w:t>
      </w:r>
      <w:r>
        <w:rPr>
          <w:rFonts w:eastAsia="Calibri"/>
          <w:bCs/>
          <w:sz w:val="22"/>
          <w:szCs w:val="22"/>
        </w:rPr>
        <w:t xml:space="preserve">34.8 </w:t>
      </w:r>
      <w:r>
        <w:rPr>
          <w:sz w:val="22"/>
          <w:szCs w:val="22"/>
        </w:rPr>
        <w:t xml:space="preserve">million for the </w:t>
      </w:r>
      <w:r>
        <w:rPr>
          <w:bCs/>
          <w:color w:val="000000"/>
          <w:sz w:val="22"/>
          <w:szCs w:val="22"/>
        </w:rPr>
        <w:t>quarter ended September 30, 2017</w:t>
      </w:r>
      <w:r>
        <w:rPr>
          <w:sz w:val="22"/>
          <w:szCs w:val="22"/>
        </w:rPr>
        <w:t>, leading to net income per share of $</w:t>
      </w:r>
      <w:r>
        <w:rPr>
          <w:rFonts w:eastAsia="Calibri"/>
          <w:bCs/>
          <w:sz w:val="22"/>
          <w:szCs w:val="22"/>
        </w:rPr>
        <w:t>0.47</w:t>
      </w:r>
      <w:r>
        <w:rPr>
          <w:sz w:val="22"/>
          <w:szCs w:val="22"/>
        </w:rPr>
        <w:t xml:space="preserve">, </w:t>
      </w:r>
      <w:r w:rsidR="00342230">
        <w:rPr>
          <w:sz w:val="22"/>
          <w:szCs w:val="22"/>
        </w:rPr>
        <w:t>compared to</w:t>
      </w:r>
      <w:r>
        <w:rPr>
          <w:sz w:val="22"/>
          <w:szCs w:val="22"/>
        </w:rPr>
        <w:t xml:space="preserve"> net income per share of $0.44 in the same period last fiscal year.  </w:t>
      </w:r>
    </w:p>
    <w:p w14:paraId="2AA157D3" w14:textId="77777777" w:rsidR="003836EC" w:rsidRDefault="003836EC">
      <w:pPr>
        <w:autoSpaceDE w:val="0"/>
        <w:autoSpaceDN w:val="0"/>
        <w:adjustRightInd w:val="0"/>
        <w:jc w:val="both"/>
        <w:rPr>
          <w:b/>
          <w:i/>
          <w:sz w:val="22"/>
          <w:szCs w:val="22"/>
        </w:rPr>
      </w:pPr>
    </w:p>
    <w:p w14:paraId="0AB2FBAB" w14:textId="77777777" w:rsidR="003836EC" w:rsidRDefault="0021615B">
      <w:pPr>
        <w:autoSpaceDE w:val="0"/>
        <w:autoSpaceDN w:val="0"/>
        <w:adjustRightInd w:val="0"/>
        <w:jc w:val="both"/>
        <w:rPr>
          <w:rFonts w:eastAsia="Calibri"/>
          <w:sz w:val="22"/>
          <w:szCs w:val="22"/>
        </w:rPr>
      </w:pPr>
      <w:r>
        <w:rPr>
          <w:rFonts w:eastAsia="Calibri"/>
          <w:sz w:val="22"/>
          <w:szCs w:val="22"/>
        </w:rPr>
        <w:t xml:space="preserve">Non-GAAP income from operations, which adds back </w:t>
      </w:r>
      <w:r>
        <w:rPr>
          <w:sz w:val="22"/>
          <w:szCs w:val="22"/>
        </w:rPr>
        <w:t>the impact of stock-based compensation expense, amortization of intangibles associated with acquisitions, acquisition-related expenses and non-capitalized acquired technology,</w:t>
      </w:r>
      <w:r>
        <w:rPr>
          <w:rFonts w:eastAsia="Calibri"/>
          <w:sz w:val="22"/>
          <w:szCs w:val="22"/>
        </w:rPr>
        <w:t xml:space="preserve"> was $</w:t>
      </w:r>
      <w:r>
        <w:rPr>
          <w:rFonts w:eastAsia="Calibri"/>
          <w:bCs/>
          <w:sz w:val="22"/>
          <w:szCs w:val="22"/>
        </w:rPr>
        <w:t>60.4</w:t>
      </w:r>
      <w:r>
        <w:rPr>
          <w:rFonts w:eastAsia="Calibri"/>
          <w:sz w:val="22"/>
          <w:szCs w:val="22"/>
        </w:rPr>
        <w:t xml:space="preserve"> million for the first quarter of fiscal 2018, compared to non-GAAP income from operations of $60.5 million in the same period last fiscal year.  Non-GAAP net income was $39.3 million, or $</w:t>
      </w:r>
      <w:r>
        <w:rPr>
          <w:rFonts w:eastAsia="Calibri"/>
          <w:bCs/>
          <w:sz w:val="22"/>
          <w:szCs w:val="22"/>
        </w:rPr>
        <w:t>0.53</w:t>
      </w:r>
      <w:r>
        <w:rPr>
          <w:rFonts w:eastAsia="Calibri"/>
          <w:sz w:val="22"/>
          <w:szCs w:val="22"/>
        </w:rPr>
        <w:t xml:space="preserve"> per share, for the first quarter of fiscal 2018, compared to non-GAAP net income of $38.7 million, or $0.49 per share, in the same period last fiscal year.  A reconciliation of GAAP to non-GAAP results is included in the financial tables included in this press release. </w:t>
      </w:r>
    </w:p>
    <w:p w14:paraId="0F6D8393" w14:textId="77777777" w:rsidR="003836EC" w:rsidRDefault="003836EC">
      <w:pPr>
        <w:autoSpaceDE w:val="0"/>
        <w:autoSpaceDN w:val="0"/>
        <w:adjustRightInd w:val="0"/>
        <w:jc w:val="both"/>
        <w:rPr>
          <w:rFonts w:eastAsia="Calibri"/>
          <w:sz w:val="22"/>
          <w:szCs w:val="22"/>
        </w:rPr>
      </w:pPr>
    </w:p>
    <w:p w14:paraId="775D5792" w14:textId="77777777" w:rsidR="003836EC" w:rsidRDefault="0021615B">
      <w:pPr>
        <w:autoSpaceDE w:val="0"/>
        <w:autoSpaceDN w:val="0"/>
        <w:adjustRightInd w:val="0"/>
        <w:jc w:val="both"/>
        <w:rPr>
          <w:rFonts w:eastAsia="Calibri"/>
          <w:sz w:val="22"/>
          <w:szCs w:val="22"/>
        </w:rPr>
      </w:pPr>
      <w:proofErr w:type="spellStart"/>
      <w:r>
        <w:rPr>
          <w:rFonts w:eastAsia="Calibri"/>
          <w:sz w:val="22"/>
          <w:szCs w:val="22"/>
        </w:rPr>
        <w:t>AspenTech</w:t>
      </w:r>
      <w:proofErr w:type="spellEnd"/>
      <w:r>
        <w:rPr>
          <w:rFonts w:eastAsia="Calibri"/>
          <w:sz w:val="22"/>
          <w:szCs w:val="22"/>
        </w:rPr>
        <w:t xml:space="preserve"> had cash and marketable securities of </w:t>
      </w:r>
      <w:r>
        <w:rPr>
          <w:rFonts w:eastAsia="Calibri"/>
          <w:bCs/>
          <w:sz w:val="22"/>
          <w:szCs w:val="22"/>
        </w:rPr>
        <w:t xml:space="preserve">$59.0 </w:t>
      </w:r>
      <w:r>
        <w:rPr>
          <w:rFonts w:eastAsia="Calibri"/>
          <w:sz w:val="22"/>
          <w:szCs w:val="22"/>
        </w:rPr>
        <w:t xml:space="preserve">million and borrowings of $140.0 million at September 30, 2017.  </w:t>
      </w:r>
    </w:p>
    <w:p w14:paraId="52F56C95" w14:textId="77777777" w:rsidR="003836EC" w:rsidRDefault="003836EC">
      <w:pPr>
        <w:autoSpaceDE w:val="0"/>
        <w:autoSpaceDN w:val="0"/>
        <w:adjustRightInd w:val="0"/>
        <w:jc w:val="both"/>
        <w:rPr>
          <w:rFonts w:eastAsia="Calibri"/>
          <w:sz w:val="22"/>
          <w:szCs w:val="22"/>
        </w:rPr>
      </w:pPr>
    </w:p>
    <w:p w14:paraId="2C536360" w14:textId="77777777" w:rsidR="003836EC" w:rsidRDefault="0021615B">
      <w:pPr>
        <w:autoSpaceDE w:val="0"/>
        <w:autoSpaceDN w:val="0"/>
        <w:adjustRightInd w:val="0"/>
        <w:jc w:val="both"/>
        <w:rPr>
          <w:rFonts w:eastAsia="Calibri"/>
          <w:sz w:val="22"/>
          <w:szCs w:val="22"/>
        </w:rPr>
      </w:pPr>
      <w:r>
        <w:rPr>
          <w:rFonts w:eastAsia="Calibri"/>
          <w:sz w:val="22"/>
          <w:szCs w:val="22"/>
        </w:rPr>
        <w:t>During the first quarter, the company generated $</w:t>
      </w:r>
      <w:r>
        <w:rPr>
          <w:rFonts w:eastAsia="Calibri"/>
          <w:bCs/>
          <w:sz w:val="22"/>
          <w:szCs w:val="22"/>
        </w:rPr>
        <w:t xml:space="preserve">12.4 </w:t>
      </w:r>
      <w:r>
        <w:rPr>
          <w:rFonts w:eastAsia="Calibri"/>
          <w:sz w:val="22"/>
          <w:szCs w:val="22"/>
        </w:rPr>
        <w:t>million in cash flow from operations and $12.2 million in free cash flow.</w:t>
      </w:r>
      <w:r w:rsidR="008E6325">
        <w:rPr>
          <w:rFonts w:eastAsia="Calibri"/>
          <w:sz w:val="22"/>
          <w:szCs w:val="22"/>
        </w:rPr>
        <w:t xml:space="preserve"> </w:t>
      </w:r>
      <w:r w:rsidR="008E6325" w:rsidRPr="00A00394">
        <w:rPr>
          <w:sz w:val="22"/>
          <w:szCs w:val="22"/>
        </w:rPr>
        <w:t>Free cash flow is calculated as net cash provided by operating activities adjusted for the net impact of: purchases of property, equipment and leasehold improvements; capitalized computer software development costs; non-capitalized acquired technology, excess tax benefits from stock-based compensation, and other nonrecurring items, such as acquisition or litigation related payments.</w:t>
      </w:r>
    </w:p>
    <w:p w14:paraId="16182C26" w14:textId="77777777" w:rsidR="003836EC" w:rsidRDefault="003836EC">
      <w:pPr>
        <w:autoSpaceDE w:val="0"/>
        <w:autoSpaceDN w:val="0"/>
        <w:adjustRightInd w:val="0"/>
        <w:jc w:val="both"/>
        <w:rPr>
          <w:rFonts w:eastAsia="Calibri"/>
          <w:b/>
          <w:sz w:val="22"/>
          <w:szCs w:val="22"/>
        </w:rPr>
      </w:pPr>
    </w:p>
    <w:p w14:paraId="38627237" w14:textId="77777777" w:rsidR="003836EC" w:rsidRDefault="0021615B">
      <w:pPr>
        <w:autoSpaceDE w:val="0"/>
        <w:autoSpaceDN w:val="0"/>
        <w:adjustRightInd w:val="0"/>
        <w:jc w:val="both"/>
        <w:rPr>
          <w:rFonts w:eastAsia="Calibri"/>
          <w:b/>
          <w:sz w:val="22"/>
          <w:szCs w:val="22"/>
        </w:rPr>
      </w:pPr>
      <w:r>
        <w:rPr>
          <w:rFonts w:eastAsia="Calibri"/>
          <w:b/>
          <w:sz w:val="22"/>
          <w:szCs w:val="22"/>
        </w:rPr>
        <w:t>Use of Non-GAAP Financial Measures</w:t>
      </w:r>
    </w:p>
    <w:p w14:paraId="33C47B9A" w14:textId="77777777" w:rsidR="003836EC" w:rsidRDefault="003836EC">
      <w:pPr>
        <w:autoSpaceDE w:val="0"/>
        <w:autoSpaceDN w:val="0"/>
        <w:adjustRightInd w:val="0"/>
        <w:jc w:val="both"/>
        <w:rPr>
          <w:rFonts w:eastAsia="Calibri"/>
          <w:sz w:val="22"/>
          <w:szCs w:val="22"/>
        </w:rPr>
      </w:pPr>
    </w:p>
    <w:p w14:paraId="13C691B3" w14:textId="77777777" w:rsidR="003836EC" w:rsidRDefault="0021615B">
      <w:pPr>
        <w:autoSpaceDE w:val="0"/>
        <w:autoSpaceDN w:val="0"/>
        <w:adjustRightInd w:val="0"/>
        <w:jc w:val="both"/>
        <w:rPr>
          <w:rFonts w:eastAsia="Calibri"/>
          <w:sz w:val="22"/>
          <w:szCs w:val="22"/>
        </w:rPr>
      </w:pPr>
      <w:r>
        <w:rPr>
          <w:rFonts w:eastAsia="Calibri"/>
          <w:sz w:val="22"/>
          <w:szCs w:val="22"/>
        </w:rPr>
        <w:t>This press release contains “non-GAAP financial measures” under the rules of the U.S. Securities and Exchange Commission. Non-GAAP financial measures are not based on a comprehensive set of accounting rules or principles. This non-GAAP information supplements, and is not intended to represent a measure of performance in accordance with, disclosures required by generally accepted accounting principles, or GAAP.  Non-GAAP financial measures should be considered in addition to, not as a substitute for or superior to, financial measures determined in accordance with GAAP.  A reconciliation of GAAP to non-GAAP results is included in the financial tables included in this press release.</w:t>
      </w:r>
    </w:p>
    <w:p w14:paraId="43D02FD5" w14:textId="77777777" w:rsidR="003836EC" w:rsidRDefault="003836EC">
      <w:pPr>
        <w:autoSpaceDE w:val="0"/>
        <w:autoSpaceDN w:val="0"/>
        <w:adjustRightInd w:val="0"/>
        <w:jc w:val="both"/>
        <w:rPr>
          <w:rFonts w:eastAsia="Calibri"/>
          <w:sz w:val="22"/>
          <w:szCs w:val="22"/>
        </w:rPr>
      </w:pPr>
    </w:p>
    <w:p w14:paraId="24C7D3E0" w14:textId="77777777" w:rsidR="003836EC" w:rsidRDefault="0021615B">
      <w:pPr>
        <w:autoSpaceDE w:val="0"/>
        <w:autoSpaceDN w:val="0"/>
        <w:adjustRightInd w:val="0"/>
        <w:jc w:val="both"/>
        <w:rPr>
          <w:rFonts w:eastAsia="Calibri"/>
          <w:sz w:val="22"/>
          <w:szCs w:val="22"/>
        </w:rPr>
      </w:pPr>
      <w:r>
        <w:rPr>
          <w:rFonts w:eastAsia="Calibri"/>
          <w:sz w:val="22"/>
          <w:szCs w:val="22"/>
        </w:rPr>
        <w:t xml:space="preserve">Management considers both GAAP and non-GAAP financial results in managing </w:t>
      </w:r>
      <w:proofErr w:type="spellStart"/>
      <w:r>
        <w:rPr>
          <w:rFonts w:eastAsia="Calibri"/>
          <w:sz w:val="22"/>
          <w:szCs w:val="22"/>
        </w:rPr>
        <w:t>AspenTech’s</w:t>
      </w:r>
      <w:proofErr w:type="spellEnd"/>
      <w:r>
        <w:rPr>
          <w:rFonts w:eastAsia="Calibri"/>
          <w:sz w:val="22"/>
          <w:szCs w:val="22"/>
        </w:rPr>
        <w:t xml:space="preserve"> business.  As the result of adoption of new licensing models, management believes that </w:t>
      </w:r>
      <w:proofErr w:type="gramStart"/>
      <w:r>
        <w:rPr>
          <w:rFonts w:eastAsia="Calibri"/>
          <w:sz w:val="22"/>
          <w:szCs w:val="22"/>
        </w:rPr>
        <w:t>a number of</w:t>
      </w:r>
      <w:proofErr w:type="gramEnd"/>
      <w:r>
        <w:rPr>
          <w:rFonts w:eastAsia="Calibri"/>
          <w:sz w:val="22"/>
          <w:szCs w:val="22"/>
        </w:rPr>
        <w:t xml:space="preserve"> </w:t>
      </w:r>
      <w:proofErr w:type="spellStart"/>
      <w:r>
        <w:rPr>
          <w:rFonts w:eastAsia="Calibri"/>
          <w:sz w:val="22"/>
          <w:szCs w:val="22"/>
        </w:rPr>
        <w:t>AspenTech’s</w:t>
      </w:r>
      <w:proofErr w:type="spellEnd"/>
      <w:r>
        <w:rPr>
          <w:rFonts w:eastAsia="Calibri"/>
          <w:sz w:val="22"/>
          <w:szCs w:val="22"/>
        </w:rPr>
        <w:t xml:space="preserve"> performance indicators based on GAAP, including revenue, gross profit, operating income and net income, should be viewed in conjunction with certain non-GAAP and other business measures in assessing </w:t>
      </w:r>
      <w:proofErr w:type="spellStart"/>
      <w:r>
        <w:rPr>
          <w:rFonts w:eastAsia="Calibri"/>
          <w:sz w:val="22"/>
          <w:szCs w:val="22"/>
        </w:rPr>
        <w:t>AspenTech’s</w:t>
      </w:r>
      <w:proofErr w:type="spellEnd"/>
      <w:r>
        <w:rPr>
          <w:rFonts w:eastAsia="Calibri"/>
          <w:sz w:val="22"/>
          <w:szCs w:val="22"/>
        </w:rPr>
        <w:t xml:space="preserve"> performance, growth and financial condition. Accordingly, management utilizes </w:t>
      </w:r>
      <w:proofErr w:type="gramStart"/>
      <w:r>
        <w:rPr>
          <w:rFonts w:eastAsia="Calibri"/>
          <w:sz w:val="22"/>
          <w:szCs w:val="22"/>
        </w:rPr>
        <w:t>a number of</w:t>
      </w:r>
      <w:proofErr w:type="gramEnd"/>
      <w:r>
        <w:rPr>
          <w:rFonts w:eastAsia="Calibri"/>
          <w:sz w:val="22"/>
          <w:szCs w:val="22"/>
        </w:rPr>
        <w:t xml:space="preserve"> non-GAAP and other business metrics, including the non-GAAP metrics set forth in this press release, to track </w:t>
      </w:r>
      <w:proofErr w:type="spellStart"/>
      <w:r>
        <w:rPr>
          <w:rFonts w:eastAsia="Calibri"/>
          <w:sz w:val="22"/>
          <w:szCs w:val="22"/>
        </w:rPr>
        <w:t>AspenTech’s</w:t>
      </w:r>
      <w:proofErr w:type="spellEnd"/>
      <w:r>
        <w:rPr>
          <w:rFonts w:eastAsia="Calibri"/>
          <w:sz w:val="22"/>
          <w:szCs w:val="22"/>
        </w:rPr>
        <w:t xml:space="preserve"> business performance. None of these non-GAAP metrics should be considered as an alternative to any measure of financial performance calculated in accordance with GAAP.</w:t>
      </w:r>
    </w:p>
    <w:p w14:paraId="2117F585" w14:textId="77777777" w:rsidR="003836EC" w:rsidRDefault="003836EC">
      <w:pPr>
        <w:autoSpaceDE w:val="0"/>
        <w:autoSpaceDN w:val="0"/>
        <w:adjustRightInd w:val="0"/>
        <w:rPr>
          <w:rFonts w:eastAsia="Calibri"/>
          <w:b/>
          <w:bCs/>
          <w:sz w:val="22"/>
          <w:szCs w:val="22"/>
        </w:rPr>
      </w:pPr>
    </w:p>
    <w:p w14:paraId="2F32AB2F" w14:textId="77777777" w:rsidR="003836EC" w:rsidRDefault="0021615B">
      <w:pPr>
        <w:autoSpaceDE w:val="0"/>
        <w:autoSpaceDN w:val="0"/>
        <w:adjustRightInd w:val="0"/>
        <w:rPr>
          <w:rFonts w:eastAsia="Calibri"/>
          <w:b/>
          <w:bCs/>
          <w:sz w:val="22"/>
          <w:szCs w:val="22"/>
        </w:rPr>
      </w:pPr>
      <w:r>
        <w:rPr>
          <w:rFonts w:eastAsia="Calibri"/>
          <w:b/>
          <w:bCs/>
          <w:sz w:val="22"/>
          <w:szCs w:val="22"/>
        </w:rPr>
        <w:t>Conference Call and Webcast</w:t>
      </w:r>
    </w:p>
    <w:p w14:paraId="45DE08EF" w14:textId="77777777" w:rsidR="003836EC" w:rsidRDefault="003836EC">
      <w:pPr>
        <w:autoSpaceDE w:val="0"/>
        <w:autoSpaceDN w:val="0"/>
        <w:adjustRightInd w:val="0"/>
        <w:rPr>
          <w:rFonts w:eastAsia="Calibri"/>
          <w:sz w:val="22"/>
          <w:szCs w:val="22"/>
        </w:rPr>
      </w:pPr>
    </w:p>
    <w:p w14:paraId="72099103" w14:textId="77777777" w:rsidR="003836EC" w:rsidRDefault="0021615B">
      <w:pPr>
        <w:autoSpaceDE w:val="0"/>
        <w:autoSpaceDN w:val="0"/>
        <w:adjustRightInd w:val="0"/>
        <w:jc w:val="both"/>
        <w:rPr>
          <w:rFonts w:eastAsia="Calibri"/>
          <w:sz w:val="22"/>
          <w:szCs w:val="22"/>
        </w:rPr>
      </w:pPr>
      <w:proofErr w:type="spellStart"/>
      <w:r>
        <w:rPr>
          <w:rFonts w:eastAsia="Calibri"/>
          <w:sz w:val="22"/>
          <w:szCs w:val="22"/>
        </w:rPr>
        <w:t>AspenTech</w:t>
      </w:r>
      <w:proofErr w:type="spellEnd"/>
      <w:r>
        <w:rPr>
          <w:rFonts w:eastAsia="Calibri"/>
          <w:sz w:val="22"/>
          <w:szCs w:val="22"/>
        </w:rPr>
        <w:t xml:space="preserve"> will host a conference call and webcast today, October 26, 2017, at 4:30 p.m. (Eastern Time), to discuss the company's financial results for the first quarter fiscal year 2018 as well as the company’s business outlook.  </w:t>
      </w:r>
    </w:p>
    <w:p w14:paraId="740D1846" w14:textId="77777777" w:rsidR="003836EC" w:rsidRDefault="0021615B">
      <w:pPr>
        <w:pStyle w:val="NormalWeb"/>
        <w:jc w:val="both"/>
        <w:rPr>
          <w:color w:val="333333"/>
          <w:sz w:val="22"/>
          <w:szCs w:val="22"/>
        </w:rPr>
      </w:pPr>
      <w:r>
        <w:rPr>
          <w:sz w:val="22"/>
          <w:szCs w:val="22"/>
        </w:rPr>
        <w:t xml:space="preserve">The live dial-in number is (866) 604-6127 or (443) 961-0460, conference ID code </w:t>
      </w:r>
      <w:r>
        <w:rPr>
          <w:bCs/>
          <w:color w:val="000000"/>
          <w:sz w:val="22"/>
          <w:szCs w:val="22"/>
        </w:rPr>
        <w:t>98608997</w:t>
      </w:r>
      <w:r>
        <w:rPr>
          <w:sz w:val="22"/>
          <w:szCs w:val="22"/>
        </w:rPr>
        <w:t xml:space="preserve">. Interested parties may also listen to a live webcast of the call by logging on to the Investor Relations section of </w:t>
      </w:r>
      <w:proofErr w:type="spellStart"/>
      <w:r>
        <w:rPr>
          <w:sz w:val="22"/>
          <w:szCs w:val="22"/>
        </w:rPr>
        <w:t>AspenTech’s</w:t>
      </w:r>
      <w:proofErr w:type="spellEnd"/>
      <w:r>
        <w:rPr>
          <w:sz w:val="22"/>
          <w:szCs w:val="22"/>
        </w:rPr>
        <w:t xml:space="preserve"> website,</w:t>
      </w:r>
      <w:r>
        <w:rPr>
          <w:color w:val="333333"/>
          <w:sz w:val="22"/>
          <w:szCs w:val="22"/>
        </w:rPr>
        <w:t xml:space="preserve"> </w:t>
      </w:r>
      <w:r>
        <w:rPr>
          <w:sz w:val="22"/>
          <w:szCs w:val="22"/>
        </w:rPr>
        <w:t xml:space="preserve">http://www.aspentech.com/corporate/investor.cfm, and clicking on the “webcast” link.  A replay of the call will be archived on </w:t>
      </w:r>
      <w:proofErr w:type="spellStart"/>
      <w:r>
        <w:rPr>
          <w:sz w:val="22"/>
          <w:szCs w:val="22"/>
        </w:rPr>
        <w:t>AspenTech’s</w:t>
      </w:r>
      <w:proofErr w:type="spellEnd"/>
      <w:r>
        <w:rPr>
          <w:sz w:val="22"/>
          <w:szCs w:val="22"/>
        </w:rPr>
        <w:t xml:space="preserve"> website and will also be available via telephone at (855) 859-2056 or (404) 537-3406, conference ID code </w:t>
      </w:r>
      <w:r>
        <w:rPr>
          <w:bCs/>
          <w:color w:val="000000"/>
          <w:sz w:val="22"/>
          <w:szCs w:val="22"/>
        </w:rPr>
        <w:t>98608997</w:t>
      </w:r>
      <w:r>
        <w:rPr>
          <w:sz w:val="22"/>
          <w:szCs w:val="22"/>
        </w:rPr>
        <w:t xml:space="preserve">, through November 26, 2017. </w:t>
      </w:r>
    </w:p>
    <w:p w14:paraId="35691CC2" w14:textId="77777777" w:rsidR="003836EC" w:rsidRDefault="0021615B">
      <w:pPr>
        <w:pStyle w:val="NormalWeb"/>
        <w:keepNext/>
        <w:rPr>
          <w:b/>
          <w:bCs/>
          <w:sz w:val="22"/>
          <w:szCs w:val="22"/>
        </w:rPr>
      </w:pPr>
      <w:r>
        <w:rPr>
          <w:b/>
          <w:bCs/>
          <w:sz w:val="22"/>
          <w:szCs w:val="22"/>
        </w:rPr>
        <w:t xml:space="preserve">About </w:t>
      </w:r>
      <w:proofErr w:type="spellStart"/>
      <w:r>
        <w:rPr>
          <w:b/>
          <w:bCs/>
          <w:sz w:val="22"/>
          <w:szCs w:val="22"/>
        </w:rPr>
        <w:t>AspenTech</w:t>
      </w:r>
      <w:proofErr w:type="spellEnd"/>
    </w:p>
    <w:p w14:paraId="1C810489" w14:textId="77777777" w:rsidR="003836EC" w:rsidRDefault="0021615B">
      <w:pPr>
        <w:pStyle w:val="NormalWeb"/>
        <w:jc w:val="both"/>
        <w:rPr>
          <w:sz w:val="22"/>
          <w:szCs w:val="22"/>
        </w:rPr>
      </w:pPr>
      <w:proofErr w:type="spellStart"/>
      <w:r>
        <w:rPr>
          <w:sz w:val="22"/>
          <w:szCs w:val="22"/>
        </w:rPr>
        <w:t>AspenTech</w:t>
      </w:r>
      <w:proofErr w:type="spellEnd"/>
      <w:r>
        <w:rPr>
          <w:sz w:val="22"/>
          <w:szCs w:val="22"/>
        </w:rPr>
        <w:t xml:space="preserve"> is a leading software supplier for optimizing asset performance. Our products thrive in complex, industrial environments where it is critical to optimize the asset design, operation and maintenance lifecycle. </w:t>
      </w:r>
      <w:proofErr w:type="spellStart"/>
      <w:r>
        <w:rPr>
          <w:sz w:val="22"/>
          <w:szCs w:val="22"/>
        </w:rPr>
        <w:t>AspenTech</w:t>
      </w:r>
      <w:proofErr w:type="spellEnd"/>
      <w:r>
        <w:rPr>
          <w:sz w:val="22"/>
          <w:szCs w:val="22"/>
        </w:rPr>
        <w:t xml:space="preserve"> uniquely combines decades of process modeling expertise with big data machine </w:t>
      </w:r>
      <w:r>
        <w:rPr>
          <w:sz w:val="22"/>
          <w:szCs w:val="22"/>
        </w:rPr>
        <w:lastRenderedPageBreak/>
        <w:t xml:space="preserve">learning. Our purpose-built software platform automates knowledge work and builds sustainable competitive advantage by delivering high returns over the entire asset lifecycle. As a result, companies in capital-intensive industries can maximize uptime and push the limits of performance, running their assets faster, safer, longer and greener. Visit </w:t>
      </w:r>
      <w:r>
        <w:rPr>
          <w:i/>
          <w:sz w:val="22"/>
          <w:szCs w:val="22"/>
        </w:rPr>
        <w:t>AspenTech.com</w:t>
      </w:r>
      <w:r>
        <w:rPr>
          <w:sz w:val="22"/>
          <w:szCs w:val="22"/>
        </w:rPr>
        <w:t xml:space="preserve"> to find out more. </w:t>
      </w:r>
    </w:p>
    <w:p w14:paraId="1C97CF3E" w14:textId="77777777" w:rsidR="003836EC" w:rsidRDefault="0021615B">
      <w:pPr>
        <w:autoSpaceDE w:val="0"/>
        <w:autoSpaceDN w:val="0"/>
        <w:adjustRightInd w:val="0"/>
        <w:rPr>
          <w:b/>
          <w:sz w:val="22"/>
          <w:szCs w:val="22"/>
        </w:rPr>
      </w:pPr>
      <w:r>
        <w:rPr>
          <w:b/>
          <w:sz w:val="22"/>
          <w:szCs w:val="22"/>
        </w:rPr>
        <w:t>Forward-Looking Statements</w:t>
      </w:r>
    </w:p>
    <w:p w14:paraId="06F63E57" w14:textId="77777777" w:rsidR="003836EC" w:rsidRDefault="003836EC">
      <w:pPr>
        <w:autoSpaceDE w:val="0"/>
        <w:autoSpaceDN w:val="0"/>
        <w:adjustRightInd w:val="0"/>
        <w:rPr>
          <w:rFonts w:eastAsia="Calibri"/>
          <w:sz w:val="22"/>
          <w:szCs w:val="22"/>
        </w:rPr>
      </w:pPr>
    </w:p>
    <w:p w14:paraId="2FC247A7" w14:textId="1178B502" w:rsidR="003836EC" w:rsidRDefault="0021615B">
      <w:pPr>
        <w:autoSpaceDE w:val="0"/>
        <w:autoSpaceDN w:val="0"/>
        <w:adjustRightInd w:val="0"/>
        <w:jc w:val="both"/>
        <w:rPr>
          <w:rFonts w:eastAsia="Calibri"/>
          <w:sz w:val="22"/>
          <w:szCs w:val="22"/>
        </w:rPr>
      </w:pPr>
      <w:r>
        <w:rPr>
          <w:rFonts w:eastAsia="Calibri"/>
          <w:sz w:val="22"/>
          <w:szCs w:val="22"/>
        </w:rPr>
        <w:t xml:space="preserve">The third paragraph of this press release contains forward-looking statements for purposes of the safe harbor provisions of the Private Securities Litigation Reform Act of 1995.  </w:t>
      </w:r>
      <w:r>
        <w:rPr>
          <w:color w:val="333333"/>
          <w:sz w:val="22"/>
          <w:szCs w:val="22"/>
          <w:shd w:val="clear" w:color="auto" w:fill="FFFFFF"/>
        </w:rPr>
        <w:t xml:space="preserve">Actual results may vary significantly from </w:t>
      </w:r>
      <w:proofErr w:type="spellStart"/>
      <w:r>
        <w:rPr>
          <w:color w:val="333333"/>
          <w:sz w:val="22"/>
          <w:szCs w:val="22"/>
          <w:shd w:val="clear" w:color="auto" w:fill="FFFFFF"/>
        </w:rPr>
        <w:t>AspenTech’s</w:t>
      </w:r>
      <w:proofErr w:type="spellEnd"/>
      <w:r>
        <w:rPr>
          <w:color w:val="333333"/>
          <w:sz w:val="22"/>
          <w:szCs w:val="22"/>
          <w:shd w:val="clear" w:color="auto" w:fill="FFFFFF"/>
        </w:rPr>
        <w:t xml:space="preserve"> expectations based on a number of risks and uncertainties, including, without limitation:  </w:t>
      </w:r>
      <w:proofErr w:type="spellStart"/>
      <w:r>
        <w:rPr>
          <w:color w:val="333333"/>
          <w:sz w:val="22"/>
          <w:szCs w:val="22"/>
          <w:shd w:val="clear" w:color="auto" w:fill="FFFFFF"/>
        </w:rPr>
        <w:t>AspenTech’s</w:t>
      </w:r>
      <w:proofErr w:type="spellEnd"/>
      <w:r>
        <w:rPr>
          <w:color w:val="333333"/>
          <w:sz w:val="22"/>
          <w:szCs w:val="22"/>
          <w:shd w:val="clear" w:color="auto" w:fill="FFFFFF"/>
        </w:rPr>
        <w:t xml:space="preserve"> failure to increase usage and product adoption of </w:t>
      </w:r>
      <w:proofErr w:type="spellStart"/>
      <w:r>
        <w:rPr>
          <w:color w:val="333333"/>
          <w:sz w:val="22"/>
          <w:szCs w:val="22"/>
          <w:shd w:val="clear" w:color="auto" w:fill="FFFFFF"/>
        </w:rPr>
        <w:t>aspenONE</w:t>
      </w:r>
      <w:proofErr w:type="spellEnd"/>
      <w:r>
        <w:rPr>
          <w:color w:val="333333"/>
          <w:sz w:val="22"/>
          <w:szCs w:val="22"/>
          <w:shd w:val="clear" w:color="auto" w:fill="FFFFFF"/>
        </w:rPr>
        <w:t xml:space="preserve"> offerings or grow the </w:t>
      </w:r>
      <w:proofErr w:type="spellStart"/>
      <w:r>
        <w:rPr>
          <w:color w:val="333333"/>
          <w:sz w:val="22"/>
          <w:szCs w:val="22"/>
          <w:shd w:val="clear" w:color="auto" w:fill="FFFFFF"/>
        </w:rPr>
        <w:t>aspenONE</w:t>
      </w:r>
      <w:proofErr w:type="spellEnd"/>
      <w:r>
        <w:rPr>
          <w:color w:val="333333"/>
          <w:sz w:val="22"/>
          <w:szCs w:val="22"/>
          <w:shd w:val="clear" w:color="auto" w:fill="FFFFFF"/>
        </w:rPr>
        <w:t xml:space="preserve"> APM business, and failure to continue to provide innovative, market-leading solutions; the demand for, or usage of, </w:t>
      </w:r>
      <w:proofErr w:type="spellStart"/>
      <w:r>
        <w:rPr>
          <w:color w:val="333333"/>
          <w:sz w:val="22"/>
          <w:szCs w:val="22"/>
          <w:shd w:val="clear" w:color="auto" w:fill="FFFFFF"/>
        </w:rPr>
        <w:t>aspenONE</w:t>
      </w:r>
      <w:proofErr w:type="spellEnd"/>
      <w:r>
        <w:rPr>
          <w:color w:val="333333"/>
          <w:sz w:val="22"/>
          <w:szCs w:val="22"/>
          <w:shd w:val="clear" w:color="auto" w:fill="FFFFFF"/>
        </w:rPr>
        <w:t xml:space="preserve"> software declines for any reason, including declines due to adverse changes in the capital-intensive process industries; unfavorable economic and market conditions or a lessening demand in the market for asset process optimization software; and other risk factors described from time to time in </w:t>
      </w:r>
      <w:proofErr w:type="spellStart"/>
      <w:r>
        <w:rPr>
          <w:color w:val="333333"/>
          <w:sz w:val="22"/>
          <w:szCs w:val="22"/>
          <w:shd w:val="clear" w:color="auto" w:fill="FFFFFF"/>
        </w:rPr>
        <w:t>AspenTech’s</w:t>
      </w:r>
      <w:proofErr w:type="spellEnd"/>
      <w:r>
        <w:rPr>
          <w:color w:val="333333"/>
          <w:sz w:val="22"/>
          <w:szCs w:val="22"/>
          <w:shd w:val="clear" w:color="auto" w:fill="FFFFFF"/>
        </w:rPr>
        <w:t xml:space="preserve"> periodic reports filed with the Securities and Exchange Commission.</w:t>
      </w:r>
      <w:r>
        <w:rPr>
          <w:rFonts w:ascii="Arial" w:hAnsi="Arial" w:cs="Arial"/>
          <w:color w:val="333333"/>
          <w:sz w:val="22"/>
          <w:szCs w:val="22"/>
          <w:shd w:val="clear" w:color="auto" w:fill="FFFFFF"/>
        </w:rPr>
        <w:t>  </w:t>
      </w:r>
      <w:proofErr w:type="spellStart"/>
      <w:r>
        <w:rPr>
          <w:rFonts w:eastAsia="Calibri"/>
          <w:sz w:val="22"/>
          <w:szCs w:val="22"/>
        </w:rPr>
        <w:t>AspenTech</w:t>
      </w:r>
      <w:proofErr w:type="spellEnd"/>
      <w:r>
        <w:rPr>
          <w:rFonts w:eastAsia="Calibri"/>
          <w:sz w:val="22"/>
          <w:szCs w:val="22"/>
        </w:rPr>
        <w:t xml:space="preserve"> cannot guarantee any future results, levels of activity, performance, or achievements.  </w:t>
      </w:r>
      <w:proofErr w:type="spellStart"/>
      <w:r>
        <w:rPr>
          <w:rFonts w:eastAsia="Calibri"/>
          <w:sz w:val="22"/>
          <w:szCs w:val="22"/>
        </w:rPr>
        <w:t>AspenTech</w:t>
      </w:r>
      <w:proofErr w:type="spellEnd"/>
      <w:r>
        <w:rPr>
          <w:rFonts w:eastAsia="Calibri"/>
          <w:sz w:val="22"/>
          <w:szCs w:val="22"/>
        </w:rPr>
        <w:t xml:space="preserve"> expressly disclaims any obligation to update forward-looking statements after the date of this press release.</w:t>
      </w:r>
    </w:p>
    <w:p w14:paraId="4B43A669" w14:textId="77777777" w:rsidR="003836EC" w:rsidRDefault="003836EC">
      <w:pPr>
        <w:autoSpaceDE w:val="0"/>
        <w:autoSpaceDN w:val="0"/>
        <w:adjustRightInd w:val="0"/>
        <w:jc w:val="both"/>
        <w:rPr>
          <w:rFonts w:eastAsia="Calibri"/>
          <w:sz w:val="22"/>
          <w:szCs w:val="22"/>
        </w:rPr>
      </w:pPr>
    </w:p>
    <w:p w14:paraId="7D53F4B0" w14:textId="3C4EC3E9" w:rsidR="003836EC" w:rsidRDefault="0021615B">
      <w:pPr>
        <w:rPr>
          <w:sz w:val="20"/>
          <w:szCs w:val="20"/>
        </w:rPr>
      </w:pPr>
      <w:r>
        <w:rPr>
          <w:sz w:val="20"/>
          <w:szCs w:val="20"/>
        </w:rPr>
        <w:t xml:space="preserve">© 2017 Aspen Technology, Inc. </w:t>
      </w:r>
      <w:proofErr w:type="spellStart"/>
      <w:r>
        <w:rPr>
          <w:sz w:val="20"/>
          <w:szCs w:val="20"/>
        </w:rPr>
        <w:t>AspenTech</w:t>
      </w:r>
      <w:proofErr w:type="spellEnd"/>
      <w:r>
        <w:rPr>
          <w:sz w:val="20"/>
          <w:szCs w:val="20"/>
        </w:rPr>
        <w:t xml:space="preserve">, </w:t>
      </w:r>
      <w:proofErr w:type="spellStart"/>
      <w:r>
        <w:rPr>
          <w:sz w:val="20"/>
          <w:szCs w:val="20"/>
        </w:rPr>
        <w:t>aspenONE</w:t>
      </w:r>
      <w:proofErr w:type="spellEnd"/>
      <w:r>
        <w:rPr>
          <w:sz w:val="20"/>
          <w:szCs w:val="20"/>
        </w:rPr>
        <w:t xml:space="preserve"> and the </w:t>
      </w:r>
      <w:proofErr w:type="spellStart"/>
      <w:r>
        <w:rPr>
          <w:sz w:val="20"/>
          <w:szCs w:val="20"/>
        </w:rPr>
        <w:t>AspenTech</w:t>
      </w:r>
      <w:proofErr w:type="spellEnd"/>
      <w:r>
        <w:rPr>
          <w:sz w:val="20"/>
          <w:szCs w:val="20"/>
        </w:rPr>
        <w:t xml:space="preserve"> leaf logo are trademarks of Aspen Technology, Inc. All rights reserved. All other trademarks are property of their respective owners.</w:t>
      </w:r>
    </w:p>
    <w:p w14:paraId="56EAF02B" w14:textId="77777777" w:rsidR="00730D64" w:rsidRDefault="00730D64">
      <w:pPr>
        <w:rPr>
          <w:b/>
          <w:sz w:val="22"/>
          <w:szCs w:val="22"/>
        </w:rPr>
      </w:pPr>
    </w:p>
    <w:p w14:paraId="18DF0F62" w14:textId="77777777" w:rsidR="003836EC" w:rsidRDefault="0021615B">
      <w:pPr>
        <w:rPr>
          <w:sz w:val="22"/>
          <w:szCs w:val="22"/>
        </w:rPr>
      </w:pPr>
      <w:r>
        <w:rPr>
          <w:b/>
          <w:sz w:val="22"/>
          <w:szCs w:val="22"/>
        </w:rPr>
        <w:t>Source</w:t>
      </w:r>
      <w:r>
        <w:rPr>
          <w:sz w:val="22"/>
          <w:szCs w:val="22"/>
        </w:rPr>
        <w:t>: Aspen Technology, Inc.</w:t>
      </w:r>
    </w:p>
    <w:p w14:paraId="405DD76D" w14:textId="77777777" w:rsidR="003836EC" w:rsidRDefault="0021615B">
      <w:pPr>
        <w:rPr>
          <w:sz w:val="22"/>
          <w:szCs w:val="22"/>
        </w:rPr>
      </w:pPr>
      <w:r>
        <w:rPr>
          <w:sz w:val="22"/>
          <w:szCs w:val="22"/>
        </w:rPr>
        <w:br w:type="page"/>
      </w:r>
    </w:p>
    <w:p w14:paraId="6B1E4C9B" w14:textId="77777777" w:rsidR="003836EC" w:rsidRDefault="00F95A4F">
      <w:pPr>
        <w:rPr>
          <w:sz w:val="22"/>
          <w:szCs w:val="22"/>
        </w:rPr>
      </w:pPr>
      <w:r>
        <w:rPr>
          <w:noProof/>
          <w:sz w:val="22"/>
          <w:szCs w:val="22"/>
        </w:rPr>
        <w:lastRenderedPageBreak/>
        <w:drawing>
          <wp:inline distT="0" distB="0" distL="0" distR="0" wp14:anchorId="49E10426" wp14:editId="5868FD9F">
            <wp:extent cx="5554980" cy="6217920"/>
            <wp:effectExtent l="0" t="0" r="7620" b="0"/>
            <wp:docPr id="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4980" cy="6217920"/>
                    </a:xfrm>
                    <a:prstGeom prst="rect">
                      <a:avLst/>
                    </a:prstGeom>
                    <a:noFill/>
                    <a:ln>
                      <a:noFill/>
                    </a:ln>
                  </pic:spPr>
                </pic:pic>
              </a:graphicData>
            </a:graphic>
          </wp:inline>
        </w:drawing>
      </w:r>
    </w:p>
    <w:p w14:paraId="046DD89D" w14:textId="77777777" w:rsidR="003836EC" w:rsidRDefault="0021615B">
      <w:pPr>
        <w:rPr>
          <w:sz w:val="22"/>
          <w:szCs w:val="22"/>
        </w:rPr>
      </w:pPr>
      <w:r>
        <w:rPr>
          <w:sz w:val="22"/>
          <w:szCs w:val="22"/>
        </w:rPr>
        <w:br w:type="page"/>
      </w:r>
    </w:p>
    <w:p w14:paraId="051BADB8" w14:textId="77777777" w:rsidR="003836EC" w:rsidRDefault="00F95A4F">
      <w:pPr>
        <w:rPr>
          <w:sz w:val="22"/>
          <w:szCs w:val="22"/>
        </w:rPr>
      </w:pPr>
      <w:r>
        <w:rPr>
          <w:noProof/>
          <w:sz w:val="22"/>
          <w:szCs w:val="22"/>
        </w:rPr>
        <w:lastRenderedPageBreak/>
        <w:drawing>
          <wp:inline distT="0" distB="0" distL="0" distR="0" wp14:anchorId="4ED6921B" wp14:editId="18AFEB61">
            <wp:extent cx="6469380" cy="5478780"/>
            <wp:effectExtent l="0" t="0" r="7620" b="7620"/>
            <wp:docPr id="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9380" cy="5478780"/>
                    </a:xfrm>
                    <a:prstGeom prst="rect">
                      <a:avLst/>
                    </a:prstGeom>
                    <a:noFill/>
                    <a:ln>
                      <a:noFill/>
                    </a:ln>
                  </pic:spPr>
                </pic:pic>
              </a:graphicData>
            </a:graphic>
          </wp:inline>
        </w:drawing>
      </w:r>
    </w:p>
    <w:p w14:paraId="11E4258B" w14:textId="77777777" w:rsidR="003836EC" w:rsidRDefault="0021615B">
      <w:pPr>
        <w:rPr>
          <w:sz w:val="22"/>
          <w:szCs w:val="22"/>
        </w:rPr>
      </w:pPr>
      <w:r>
        <w:rPr>
          <w:sz w:val="22"/>
          <w:szCs w:val="22"/>
        </w:rPr>
        <w:br w:type="page"/>
      </w:r>
    </w:p>
    <w:p w14:paraId="7880F3B9" w14:textId="42915F0C" w:rsidR="003836EC" w:rsidRDefault="00617566">
      <w:pPr>
        <w:rPr>
          <w:sz w:val="22"/>
          <w:szCs w:val="22"/>
        </w:rPr>
      </w:pPr>
      <w:r>
        <w:rPr>
          <w:sz w:val="22"/>
          <w:szCs w:val="22"/>
        </w:rPr>
        <w:object w:dxaOrig="11771" w:dyaOrig="13754" w14:anchorId="5E780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82pt" o:ole="">
            <v:imagedata r:id="rId10" o:title=""/>
          </v:shape>
          <o:OLEObject Type="Embed" ProgID="Excel.Sheet.12" ShapeID="_x0000_i1025" DrawAspect="Content" ObjectID="_1570538378" r:id="rId11"/>
        </w:object>
      </w:r>
    </w:p>
    <w:p w14:paraId="0613032F" w14:textId="77777777" w:rsidR="003836EC" w:rsidRDefault="0021615B">
      <w:pPr>
        <w:rPr>
          <w:sz w:val="22"/>
          <w:szCs w:val="22"/>
        </w:rPr>
      </w:pPr>
      <w:r>
        <w:rPr>
          <w:sz w:val="22"/>
          <w:szCs w:val="22"/>
        </w:rPr>
        <w:br w:type="page"/>
      </w:r>
    </w:p>
    <w:p w14:paraId="226DE909" w14:textId="725DABB3" w:rsidR="003836EC" w:rsidRDefault="00590E31">
      <w:pPr>
        <w:jc w:val="center"/>
        <w:rPr>
          <w:sz w:val="22"/>
          <w:szCs w:val="22"/>
        </w:rPr>
      </w:pPr>
      <w:r>
        <w:rPr>
          <w:sz w:val="22"/>
          <w:szCs w:val="22"/>
        </w:rPr>
        <w:lastRenderedPageBreak/>
        <w:pict w14:anchorId="044D59E7">
          <v:shape id="_x0000_i1026" type="#_x0000_t75" style="width:443.25pt;height:677.25pt">
            <v:imagedata r:id="rId12" o:title=""/>
          </v:shape>
        </w:pict>
      </w:r>
    </w:p>
    <w:p w14:paraId="7BCF703F" w14:textId="1879E0AA" w:rsidR="00617566" w:rsidRDefault="00590E31">
      <w:pPr>
        <w:jc w:val="center"/>
        <w:rPr>
          <w:sz w:val="22"/>
          <w:szCs w:val="22"/>
        </w:rPr>
      </w:pPr>
      <w:r>
        <w:rPr>
          <w:sz w:val="22"/>
          <w:szCs w:val="22"/>
        </w:rPr>
        <w:lastRenderedPageBreak/>
        <w:pict w14:anchorId="0D0486A6">
          <v:shape id="_x0000_i1027" type="#_x0000_t75" style="width:459pt;height:657.75pt">
            <v:imagedata r:id="rId13" o:title=""/>
          </v:shape>
        </w:pict>
      </w:r>
    </w:p>
    <w:sectPr w:rsidR="00617566">
      <w:pgSz w:w="12240" w:h="15840"/>
      <w:pgMar w:top="864" w:right="1440" w:bottom="72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6A">
      <wne:macro wne:macroName="PCGGLOBAL.GLOBALMACROS.CUSTOMFORMATBULLETUP"/>
    </wne:keymap>
    <wne:keymap wne:kcmPrimary="056A">
      <wne:macro wne:macroName="PCGGLOBAL.GLOBALMACROS.CUSTOMFORMATBULLETDOWN"/>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D543F"/>
    <w:multiLevelType w:val="hybridMultilevel"/>
    <w:tmpl w:val="0002A38C"/>
    <w:lvl w:ilvl="0" w:tplc="C476952A">
      <w:numFmt w:val="bullet"/>
      <w:lvlText w:val="-"/>
      <w:lvlJc w:val="left"/>
      <w:pPr>
        <w:ind w:left="720" w:hanging="360"/>
      </w:pPr>
      <w:rPr>
        <w:rFonts w:ascii="Times New Roman" w:eastAsia="Times New Roman" w:hAnsi="Times New Roman" w:cs="Times New Roman" w:hint="default"/>
      </w:rPr>
    </w:lvl>
    <w:lvl w:ilvl="1" w:tplc="F55EDB02" w:tentative="1">
      <w:start w:val="1"/>
      <w:numFmt w:val="bullet"/>
      <w:lvlText w:val="o"/>
      <w:lvlJc w:val="left"/>
      <w:pPr>
        <w:ind w:left="1440" w:hanging="360"/>
      </w:pPr>
      <w:rPr>
        <w:rFonts w:ascii="Courier New" w:hAnsi="Courier New" w:cs="Courier New" w:hint="default"/>
      </w:rPr>
    </w:lvl>
    <w:lvl w:ilvl="2" w:tplc="8C78410A" w:tentative="1">
      <w:start w:val="1"/>
      <w:numFmt w:val="bullet"/>
      <w:lvlText w:val=""/>
      <w:lvlJc w:val="left"/>
      <w:pPr>
        <w:ind w:left="2160" w:hanging="360"/>
      </w:pPr>
      <w:rPr>
        <w:rFonts w:ascii="Wingdings" w:hAnsi="Wingdings" w:hint="default"/>
      </w:rPr>
    </w:lvl>
    <w:lvl w:ilvl="3" w:tplc="687E238C" w:tentative="1">
      <w:start w:val="1"/>
      <w:numFmt w:val="bullet"/>
      <w:lvlText w:val=""/>
      <w:lvlJc w:val="left"/>
      <w:pPr>
        <w:ind w:left="2880" w:hanging="360"/>
      </w:pPr>
      <w:rPr>
        <w:rFonts w:ascii="Symbol" w:hAnsi="Symbol" w:hint="default"/>
      </w:rPr>
    </w:lvl>
    <w:lvl w:ilvl="4" w:tplc="26C233A2" w:tentative="1">
      <w:start w:val="1"/>
      <w:numFmt w:val="bullet"/>
      <w:lvlText w:val="o"/>
      <w:lvlJc w:val="left"/>
      <w:pPr>
        <w:ind w:left="3600" w:hanging="360"/>
      </w:pPr>
      <w:rPr>
        <w:rFonts w:ascii="Courier New" w:hAnsi="Courier New" w:cs="Courier New" w:hint="default"/>
      </w:rPr>
    </w:lvl>
    <w:lvl w:ilvl="5" w:tplc="4016FE32" w:tentative="1">
      <w:start w:val="1"/>
      <w:numFmt w:val="bullet"/>
      <w:lvlText w:val=""/>
      <w:lvlJc w:val="left"/>
      <w:pPr>
        <w:ind w:left="4320" w:hanging="360"/>
      </w:pPr>
      <w:rPr>
        <w:rFonts w:ascii="Wingdings" w:hAnsi="Wingdings" w:hint="default"/>
      </w:rPr>
    </w:lvl>
    <w:lvl w:ilvl="6" w:tplc="65A63024" w:tentative="1">
      <w:start w:val="1"/>
      <w:numFmt w:val="bullet"/>
      <w:lvlText w:val=""/>
      <w:lvlJc w:val="left"/>
      <w:pPr>
        <w:ind w:left="5040" w:hanging="360"/>
      </w:pPr>
      <w:rPr>
        <w:rFonts w:ascii="Symbol" w:hAnsi="Symbol" w:hint="default"/>
      </w:rPr>
    </w:lvl>
    <w:lvl w:ilvl="7" w:tplc="2434305C" w:tentative="1">
      <w:start w:val="1"/>
      <w:numFmt w:val="bullet"/>
      <w:lvlText w:val="o"/>
      <w:lvlJc w:val="left"/>
      <w:pPr>
        <w:ind w:left="5760" w:hanging="360"/>
      </w:pPr>
      <w:rPr>
        <w:rFonts w:ascii="Courier New" w:hAnsi="Courier New" w:cs="Courier New" w:hint="default"/>
      </w:rPr>
    </w:lvl>
    <w:lvl w:ilvl="8" w:tplc="83689CB8" w:tentative="1">
      <w:start w:val="1"/>
      <w:numFmt w:val="bullet"/>
      <w:lvlText w:val=""/>
      <w:lvlJc w:val="left"/>
      <w:pPr>
        <w:ind w:left="6480" w:hanging="360"/>
      </w:pPr>
      <w:rPr>
        <w:rFonts w:ascii="Wingdings" w:hAnsi="Wingdings" w:hint="default"/>
      </w:rPr>
    </w:lvl>
  </w:abstractNum>
  <w:abstractNum w:abstractNumId="1" w15:restartNumberingAfterBreak="0">
    <w:nsid w:val="1F6513A0"/>
    <w:multiLevelType w:val="multilevel"/>
    <w:tmpl w:val="E628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F4123"/>
    <w:multiLevelType w:val="hybridMultilevel"/>
    <w:tmpl w:val="1F428940"/>
    <w:lvl w:ilvl="0" w:tplc="876A65FA">
      <w:start w:val="1"/>
      <w:numFmt w:val="bullet"/>
      <w:lvlText w:val=""/>
      <w:lvlJc w:val="left"/>
      <w:pPr>
        <w:ind w:left="720" w:hanging="360"/>
      </w:pPr>
      <w:rPr>
        <w:rFonts w:ascii="Symbol" w:hAnsi="Symbol" w:hint="default"/>
      </w:rPr>
    </w:lvl>
    <w:lvl w:ilvl="1" w:tplc="A768E0B6" w:tentative="1">
      <w:start w:val="1"/>
      <w:numFmt w:val="bullet"/>
      <w:lvlText w:val="o"/>
      <w:lvlJc w:val="left"/>
      <w:pPr>
        <w:ind w:left="1440" w:hanging="360"/>
      </w:pPr>
      <w:rPr>
        <w:rFonts w:ascii="Courier New" w:hAnsi="Courier New" w:cs="Courier New" w:hint="default"/>
      </w:rPr>
    </w:lvl>
    <w:lvl w:ilvl="2" w:tplc="20E65FB4" w:tentative="1">
      <w:start w:val="1"/>
      <w:numFmt w:val="bullet"/>
      <w:lvlText w:val=""/>
      <w:lvlJc w:val="left"/>
      <w:pPr>
        <w:ind w:left="2160" w:hanging="360"/>
      </w:pPr>
      <w:rPr>
        <w:rFonts w:ascii="Wingdings" w:hAnsi="Wingdings" w:hint="default"/>
      </w:rPr>
    </w:lvl>
    <w:lvl w:ilvl="3" w:tplc="0776A200" w:tentative="1">
      <w:start w:val="1"/>
      <w:numFmt w:val="bullet"/>
      <w:lvlText w:val=""/>
      <w:lvlJc w:val="left"/>
      <w:pPr>
        <w:ind w:left="2880" w:hanging="360"/>
      </w:pPr>
      <w:rPr>
        <w:rFonts w:ascii="Symbol" w:hAnsi="Symbol" w:hint="default"/>
      </w:rPr>
    </w:lvl>
    <w:lvl w:ilvl="4" w:tplc="6B2E4998" w:tentative="1">
      <w:start w:val="1"/>
      <w:numFmt w:val="bullet"/>
      <w:lvlText w:val="o"/>
      <w:lvlJc w:val="left"/>
      <w:pPr>
        <w:ind w:left="3600" w:hanging="360"/>
      </w:pPr>
      <w:rPr>
        <w:rFonts w:ascii="Courier New" w:hAnsi="Courier New" w:cs="Courier New" w:hint="default"/>
      </w:rPr>
    </w:lvl>
    <w:lvl w:ilvl="5" w:tplc="ABB84D02" w:tentative="1">
      <w:start w:val="1"/>
      <w:numFmt w:val="bullet"/>
      <w:lvlText w:val=""/>
      <w:lvlJc w:val="left"/>
      <w:pPr>
        <w:ind w:left="4320" w:hanging="360"/>
      </w:pPr>
      <w:rPr>
        <w:rFonts w:ascii="Wingdings" w:hAnsi="Wingdings" w:hint="default"/>
      </w:rPr>
    </w:lvl>
    <w:lvl w:ilvl="6" w:tplc="9BAECBC6" w:tentative="1">
      <w:start w:val="1"/>
      <w:numFmt w:val="bullet"/>
      <w:lvlText w:val=""/>
      <w:lvlJc w:val="left"/>
      <w:pPr>
        <w:ind w:left="5040" w:hanging="360"/>
      </w:pPr>
      <w:rPr>
        <w:rFonts w:ascii="Symbol" w:hAnsi="Symbol" w:hint="default"/>
      </w:rPr>
    </w:lvl>
    <w:lvl w:ilvl="7" w:tplc="100E6AB0" w:tentative="1">
      <w:start w:val="1"/>
      <w:numFmt w:val="bullet"/>
      <w:lvlText w:val="o"/>
      <w:lvlJc w:val="left"/>
      <w:pPr>
        <w:ind w:left="5760" w:hanging="360"/>
      </w:pPr>
      <w:rPr>
        <w:rFonts w:ascii="Courier New" w:hAnsi="Courier New" w:cs="Courier New" w:hint="default"/>
      </w:rPr>
    </w:lvl>
    <w:lvl w:ilvl="8" w:tplc="3842A196" w:tentative="1">
      <w:start w:val="1"/>
      <w:numFmt w:val="bullet"/>
      <w:lvlText w:val=""/>
      <w:lvlJc w:val="left"/>
      <w:pPr>
        <w:ind w:left="6480" w:hanging="360"/>
      </w:pPr>
      <w:rPr>
        <w:rFonts w:ascii="Wingdings" w:hAnsi="Wingdings" w:hint="default"/>
      </w:rPr>
    </w:lvl>
  </w:abstractNum>
  <w:abstractNum w:abstractNumId="3" w15:restartNumberingAfterBreak="0">
    <w:nsid w:val="3CEE3E5C"/>
    <w:multiLevelType w:val="hybridMultilevel"/>
    <w:tmpl w:val="1C8EF474"/>
    <w:lvl w:ilvl="0" w:tplc="C19ABD08">
      <w:start w:val="1"/>
      <w:numFmt w:val="bullet"/>
      <w:lvlText w:val=""/>
      <w:lvlJc w:val="left"/>
      <w:pPr>
        <w:ind w:left="720" w:hanging="360"/>
      </w:pPr>
      <w:rPr>
        <w:rFonts w:ascii="Symbol" w:hAnsi="Symbol" w:hint="default"/>
      </w:rPr>
    </w:lvl>
    <w:lvl w:ilvl="1" w:tplc="60C49E78" w:tentative="1">
      <w:start w:val="1"/>
      <w:numFmt w:val="bullet"/>
      <w:lvlText w:val="o"/>
      <w:lvlJc w:val="left"/>
      <w:pPr>
        <w:ind w:left="1440" w:hanging="360"/>
      </w:pPr>
      <w:rPr>
        <w:rFonts w:ascii="Courier New" w:hAnsi="Courier New" w:cs="Courier New" w:hint="default"/>
      </w:rPr>
    </w:lvl>
    <w:lvl w:ilvl="2" w:tplc="0ED67D8E" w:tentative="1">
      <w:start w:val="1"/>
      <w:numFmt w:val="bullet"/>
      <w:lvlText w:val=""/>
      <w:lvlJc w:val="left"/>
      <w:pPr>
        <w:ind w:left="2160" w:hanging="360"/>
      </w:pPr>
      <w:rPr>
        <w:rFonts w:ascii="Wingdings" w:hAnsi="Wingdings" w:hint="default"/>
      </w:rPr>
    </w:lvl>
    <w:lvl w:ilvl="3" w:tplc="2794CF28" w:tentative="1">
      <w:start w:val="1"/>
      <w:numFmt w:val="bullet"/>
      <w:lvlText w:val=""/>
      <w:lvlJc w:val="left"/>
      <w:pPr>
        <w:ind w:left="2880" w:hanging="360"/>
      </w:pPr>
      <w:rPr>
        <w:rFonts w:ascii="Symbol" w:hAnsi="Symbol" w:hint="default"/>
      </w:rPr>
    </w:lvl>
    <w:lvl w:ilvl="4" w:tplc="C1BAAEFE" w:tentative="1">
      <w:start w:val="1"/>
      <w:numFmt w:val="bullet"/>
      <w:lvlText w:val="o"/>
      <w:lvlJc w:val="left"/>
      <w:pPr>
        <w:ind w:left="3600" w:hanging="360"/>
      </w:pPr>
      <w:rPr>
        <w:rFonts w:ascii="Courier New" w:hAnsi="Courier New" w:cs="Courier New" w:hint="default"/>
      </w:rPr>
    </w:lvl>
    <w:lvl w:ilvl="5" w:tplc="F074273A" w:tentative="1">
      <w:start w:val="1"/>
      <w:numFmt w:val="bullet"/>
      <w:lvlText w:val=""/>
      <w:lvlJc w:val="left"/>
      <w:pPr>
        <w:ind w:left="4320" w:hanging="360"/>
      </w:pPr>
      <w:rPr>
        <w:rFonts w:ascii="Wingdings" w:hAnsi="Wingdings" w:hint="default"/>
      </w:rPr>
    </w:lvl>
    <w:lvl w:ilvl="6" w:tplc="2654AE74" w:tentative="1">
      <w:start w:val="1"/>
      <w:numFmt w:val="bullet"/>
      <w:lvlText w:val=""/>
      <w:lvlJc w:val="left"/>
      <w:pPr>
        <w:ind w:left="5040" w:hanging="360"/>
      </w:pPr>
      <w:rPr>
        <w:rFonts w:ascii="Symbol" w:hAnsi="Symbol" w:hint="default"/>
      </w:rPr>
    </w:lvl>
    <w:lvl w:ilvl="7" w:tplc="35B4B256" w:tentative="1">
      <w:start w:val="1"/>
      <w:numFmt w:val="bullet"/>
      <w:lvlText w:val="o"/>
      <w:lvlJc w:val="left"/>
      <w:pPr>
        <w:ind w:left="5760" w:hanging="360"/>
      </w:pPr>
      <w:rPr>
        <w:rFonts w:ascii="Courier New" w:hAnsi="Courier New" w:cs="Courier New" w:hint="default"/>
      </w:rPr>
    </w:lvl>
    <w:lvl w:ilvl="8" w:tplc="FED83774" w:tentative="1">
      <w:start w:val="1"/>
      <w:numFmt w:val="bullet"/>
      <w:lvlText w:val=""/>
      <w:lvlJc w:val="left"/>
      <w:pPr>
        <w:ind w:left="6480" w:hanging="360"/>
      </w:pPr>
      <w:rPr>
        <w:rFonts w:ascii="Wingdings" w:hAnsi="Wingdings" w:hint="default"/>
      </w:rPr>
    </w:lvl>
  </w:abstractNum>
  <w:abstractNum w:abstractNumId="4" w15:restartNumberingAfterBreak="0">
    <w:nsid w:val="4BBC1E59"/>
    <w:multiLevelType w:val="hybridMultilevel"/>
    <w:tmpl w:val="F7F29AC4"/>
    <w:lvl w:ilvl="0" w:tplc="6944E628">
      <w:start w:val="1"/>
      <w:numFmt w:val="bullet"/>
      <w:lvlText w:val=""/>
      <w:lvlJc w:val="left"/>
      <w:pPr>
        <w:ind w:left="720" w:hanging="360"/>
      </w:pPr>
      <w:rPr>
        <w:rFonts w:ascii="Symbol" w:hAnsi="Symbol" w:hint="default"/>
      </w:rPr>
    </w:lvl>
    <w:lvl w:ilvl="1" w:tplc="2BB896F8" w:tentative="1">
      <w:start w:val="1"/>
      <w:numFmt w:val="bullet"/>
      <w:lvlText w:val="o"/>
      <w:lvlJc w:val="left"/>
      <w:pPr>
        <w:ind w:left="1440" w:hanging="360"/>
      </w:pPr>
      <w:rPr>
        <w:rFonts w:ascii="Courier New" w:hAnsi="Courier New" w:cs="Courier New" w:hint="default"/>
      </w:rPr>
    </w:lvl>
    <w:lvl w:ilvl="2" w:tplc="43463682" w:tentative="1">
      <w:start w:val="1"/>
      <w:numFmt w:val="bullet"/>
      <w:lvlText w:val=""/>
      <w:lvlJc w:val="left"/>
      <w:pPr>
        <w:ind w:left="2160" w:hanging="360"/>
      </w:pPr>
      <w:rPr>
        <w:rFonts w:ascii="Wingdings" w:hAnsi="Wingdings" w:hint="default"/>
      </w:rPr>
    </w:lvl>
    <w:lvl w:ilvl="3" w:tplc="67F6D912" w:tentative="1">
      <w:start w:val="1"/>
      <w:numFmt w:val="bullet"/>
      <w:lvlText w:val=""/>
      <w:lvlJc w:val="left"/>
      <w:pPr>
        <w:ind w:left="2880" w:hanging="360"/>
      </w:pPr>
      <w:rPr>
        <w:rFonts w:ascii="Symbol" w:hAnsi="Symbol" w:hint="default"/>
      </w:rPr>
    </w:lvl>
    <w:lvl w:ilvl="4" w:tplc="01A683EC" w:tentative="1">
      <w:start w:val="1"/>
      <w:numFmt w:val="bullet"/>
      <w:lvlText w:val="o"/>
      <w:lvlJc w:val="left"/>
      <w:pPr>
        <w:ind w:left="3600" w:hanging="360"/>
      </w:pPr>
      <w:rPr>
        <w:rFonts w:ascii="Courier New" w:hAnsi="Courier New" w:cs="Courier New" w:hint="default"/>
      </w:rPr>
    </w:lvl>
    <w:lvl w:ilvl="5" w:tplc="5726C506" w:tentative="1">
      <w:start w:val="1"/>
      <w:numFmt w:val="bullet"/>
      <w:lvlText w:val=""/>
      <w:lvlJc w:val="left"/>
      <w:pPr>
        <w:ind w:left="4320" w:hanging="360"/>
      </w:pPr>
      <w:rPr>
        <w:rFonts w:ascii="Wingdings" w:hAnsi="Wingdings" w:hint="default"/>
      </w:rPr>
    </w:lvl>
    <w:lvl w:ilvl="6" w:tplc="F6246C48" w:tentative="1">
      <w:start w:val="1"/>
      <w:numFmt w:val="bullet"/>
      <w:lvlText w:val=""/>
      <w:lvlJc w:val="left"/>
      <w:pPr>
        <w:ind w:left="5040" w:hanging="360"/>
      </w:pPr>
      <w:rPr>
        <w:rFonts w:ascii="Symbol" w:hAnsi="Symbol" w:hint="default"/>
      </w:rPr>
    </w:lvl>
    <w:lvl w:ilvl="7" w:tplc="93CEC33C" w:tentative="1">
      <w:start w:val="1"/>
      <w:numFmt w:val="bullet"/>
      <w:lvlText w:val="o"/>
      <w:lvlJc w:val="left"/>
      <w:pPr>
        <w:ind w:left="5760" w:hanging="360"/>
      </w:pPr>
      <w:rPr>
        <w:rFonts w:ascii="Courier New" w:hAnsi="Courier New" w:cs="Courier New" w:hint="default"/>
      </w:rPr>
    </w:lvl>
    <w:lvl w:ilvl="8" w:tplc="58088CB0" w:tentative="1">
      <w:start w:val="1"/>
      <w:numFmt w:val="bullet"/>
      <w:lvlText w:val=""/>
      <w:lvlJc w:val="left"/>
      <w:pPr>
        <w:ind w:left="6480" w:hanging="360"/>
      </w:pPr>
      <w:rPr>
        <w:rFonts w:ascii="Wingdings" w:hAnsi="Wingdings" w:hint="default"/>
      </w:rPr>
    </w:lvl>
  </w:abstractNum>
  <w:abstractNum w:abstractNumId="5" w15:restartNumberingAfterBreak="0">
    <w:nsid w:val="7F262993"/>
    <w:multiLevelType w:val="hybridMultilevel"/>
    <w:tmpl w:val="50A08A90"/>
    <w:lvl w:ilvl="0" w:tplc="04090001">
      <w:start w:val="1"/>
      <w:numFmt w:val="bullet"/>
      <w:lvlText w:val=""/>
      <w:lvlJc w:val="left"/>
      <w:pPr>
        <w:ind w:left="720" w:hanging="360"/>
      </w:pPr>
      <w:rPr>
        <w:rFonts w:ascii="Symbol" w:hAnsi="Symbol" w:hint="default"/>
        <w:b/>
      </w:rPr>
    </w:lvl>
    <w:lvl w:ilvl="1" w:tplc="DD4AEF82" w:tentative="1">
      <w:start w:val="1"/>
      <w:numFmt w:val="bullet"/>
      <w:lvlText w:val="o"/>
      <w:lvlJc w:val="left"/>
      <w:pPr>
        <w:ind w:left="1440" w:hanging="360"/>
      </w:pPr>
      <w:rPr>
        <w:rFonts w:ascii="Courier New" w:hAnsi="Courier New" w:cs="Courier New" w:hint="default"/>
      </w:rPr>
    </w:lvl>
    <w:lvl w:ilvl="2" w:tplc="0398400A" w:tentative="1">
      <w:start w:val="1"/>
      <w:numFmt w:val="bullet"/>
      <w:lvlText w:val=""/>
      <w:lvlJc w:val="left"/>
      <w:pPr>
        <w:ind w:left="2160" w:hanging="360"/>
      </w:pPr>
      <w:rPr>
        <w:rFonts w:ascii="Wingdings" w:hAnsi="Wingdings" w:hint="default"/>
      </w:rPr>
    </w:lvl>
    <w:lvl w:ilvl="3" w:tplc="28D2734A" w:tentative="1">
      <w:start w:val="1"/>
      <w:numFmt w:val="bullet"/>
      <w:lvlText w:val=""/>
      <w:lvlJc w:val="left"/>
      <w:pPr>
        <w:ind w:left="2880" w:hanging="360"/>
      </w:pPr>
      <w:rPr>
        <w:rFonts w:ascii="Symbol" w:hAnsi="Symbol" w:hint="default"/>
      </w:rPr>
    </w:lvl>
    <w:lvl w:ilvl="4" w:tplc="47B8C8EA" w:tentative="1">
      <w:start w:val="1"/>
      <w:numFmt w:val="bullet"/>
      <w:lvlText w:val="o"/>
      <w:lvlJc w:val="left"/>
      <w:pPr>
        <w:ind w:left="3600" w:hanging="360"/>
      </w:pPr>
      <w:rPr>
        <w:rFonts w:ascii="Courier New" w:hAnsi="Courier New" w:cs="Courier New" w:hint="default"/>
      </w:rPr>
    </w:lvl>
    <w:lvl w:ilvl="5" w:tplc="58FE9358" w:tentative="1">
      <w:start w:val="1"/>
      <w:numFmt w:val="bullet"/>
      <w:lvlText w:val=""/>
      <w:lvlJc w:val="left"/>
      <w:pPr>
        <w:ind w:left="4320" w:hanging="360"/>
      </w:pPr>
      <w:rPr>
        <w:rFonts w:ascii="Wingdings" w:hAnsi="Wingdings" w:hint="default"/>
      </w:rPr>
    </w:lvl>
    <w:lvl w:ilvl="6" w:tplc="42F8A00C" w:tentative="1">
      <w:start w:val="1"/>
      <w:numFmt w:val="bullet"/>
      <w:lvlText w:val=""/>
      <w:lvlJc w:val="left"/>
      <w:pPr>
        <w:ind w:left="5040" w:hanging="360"/>
      </w:pPr>
      <w:rPr>
        <w:rFonts w:ascii="Symbol" w:hAnsi="Symbol" w:hint="default"/>
      </w:rPr>
    </w:lvl>
    <w:lvl w:ilvl="7" w:tplc="72B64A98" w:tentative="1">
      <w:start w:val="1"/>
      <w:numFmt w:val="bullet"/>
      <w:lvlText w:val="o"/>
      <w:lvlJc w:val="left"/>
      <w:pPr>
        <w:ind w:left="5760" w:hanging="360"/>
      </w:pPr>
      <w:rPr>
        <w:rFonts w:ascii="Courier New" w:hAnsi="Courier New" w:cs="Courier New" w:hint="default"/>
      </w:rPr>
    </w:lvl>
    <w:lvl w:ilvl="8" w:tplc="1390C2A8"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3836EC"/>
    <w:rsid w:val="000435D9"/>
    <w:rsid w:val="000A1F95"/>
    <w:rsid w:val="00122073"/>
    <w:rsid w:val="0021615B"/>
    <w:rsid w:val="00250A66"/>
    <w:rsid w:val="002738F4"/>
    <w:rsid w:val="002B3208"/>
    <w:rsid w:val="00342230"/>
    <w:rsid w:val="003836EC"/>
    <w:rsid w:val="0039272C"/>
    <w:rsid w:val="004A51C7"/>
    <w:rsid w:val="004F629A"/>
    <w:rsid w:val="00590E31"/>
    <w:rsid w:val="00617566"/>
    <w:rsid w:val="00633019"/>
    <w:rsid w:val="00730D64"/>
    <w:rsid w:val="00777C7E"/>
    <w:rsid w:val="00807ED1"/>
    <w:rsid w:val="008E6325"/>
    <w:rsid w:val="008F3EE6"/>
    <w:rsid w:val="00A00394"/>
    <w:rsid w:val="00B87316"/>
    <w:rsid w:val="00BA7BF2"/>
    <w:rsid w:val="00CA28DE"/>
    <w:rsid w:val="00EC637D"/>
    <w:rsid w:val="00F95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uiPriority w:val="99"/>
    <w:rPr>
      <w:color w:val="0000FF"/>
      <w:u w:val="single"/>
    </w:rPr>
  </w:style>
  <w:style w:type="character" w:styleId="Emphasis">
    <w:name w:val="Emphasis"/>
    <w:uiPriority w:val="99"/>
    <w:qFormat/>
    <w:rPr>
      <w:i/>
      <w:iCs/>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Strong">
    <w:name w:val="Strong"/>
    <w:uiPriority w:val="99"/>
    <w:qFormat/>
    <w:rPr>
      <w:b/>
      <w:bCs/>
    </w:rPr>
  </w:style>
  <w:style w:type="paragraph" w:customStyle="1" w:styleId="Type">
    <w:name w:val="Type"/>
    <w:basedOn w:val="Normal"/>
    <w:uiPriority w:val="99"/>
    <w:pPr>
      <w:jc w:val="right"/>
    </w:pPr>
    <w:rPr>
      <w:b/>
      <w:bCs/>
      <w:smallCaps/>
      <w:color w:val="003399"/>
      <w:sz w:val="20"/>
      <w:szCs w:val="20"/>
    </w:rPr>
  </w:style>
  <w:style w:type="paragraph" w:styleId="ListParagraph">
    <w:name w:val="List Paragraph"/>
    <w:basedOn w:val="Normal"/>
    <w:uiPriority w:val="34"/>
    <w:qFormat/>
    <w:pPr>
      <w:ind w:left="720"/>
    </w:pPr>
  </w:style>
  <w:style w:type="paragraph" w:styleId="Revision">
    <w:name w:val="Revision"/>
    <w:hidden/>
    <w:uiPriority w:val="99"/>
    <w:semiHidden/>
    <w:rPr>
      <w:rFonts w:ascii="Times New Roman" w:eastAsia="Times New Roman" w:hAnsi="Times New Roman"/>
      <w:sz w:val="24"/>
      <w:szCs w:val="24"/>
    </w:rPr>
  </w:style>
  <w:style w:type="paragraph" w:customStyle="1" w:styleId="NormalWeb0">
    <w:name w:val="Normal(Web)"/>
    <w:basedOn w:val="Normal"/>
    <w:uiPriority w:val="99"/>
    <w:pPr>
      <w:widowControl w:val="0"/>
      <w:autoSpaceDE w:val="0"/>
      <w:autoSpaceDN w:val="0"/>
      <w:adjustRightInd w:val="0"/>
      <w:spacing w:before="100" w:beforeAutospacing="1" w:after="100" w:afterAutospacing="1"/>
    </w:pPr>
    <w:rPr>
      <w:lang w:bidi="he-IL"/>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link w:val="Footer"/>
    <w:uiPriority w:val="99"/>
    <w:semiHidden/>
    <w:rPr>
      <w:rFonts w:ascii="Times New Roman" w:eastAsia="Times New Roman" w:hAnsi="Times New Roman"/>
      <w:sz w:val="24"/>
      <w:szCs w:val="24"/>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ccbntxt">
    <w:name w:val="ccbntxt"/>
    <w:basedOn w:val="DefaultParagraphFont"/>
  </w:style>
  <w:style w:type="character" w:customStyle="1" w:styleId="h41">
    <w:name w:val="h41"/>
    <w:rPr>
      <w:b/>
      <w:bCs/>
      <w:sz w:val="24"/>
      <w:szCs w:val="24"/>
    </w:rPr>
  </w:style>
  <w:style w:type="character" w:styleId="FollowedHyperlink">
    <w:name w:val="FollowedHyperlink"/>
    <w:uiPriority w:val="99"/>
    <w:semiHidden/>
    <w:unhideWhenUsed/>
    <w:rPr>
      <w:color w:val="954F7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83574">
      <w:bodyDiv w:val="1"/>
      <w:marLeft w:val="0"/>
      <w:marRight w:val="0"/>
      <w:marTop w:val="0"/>
      <w:marBottom w:val="0"/>
      <w:divBdr>
        <w:top w:val="none" w:sz="0" w:space="0" w:color="auto"/>
        <w:left w:val="none" w:sz="0" w:space="0" w:color="auto"/>
        <w:bottom w:val="none" w:sz="0" w:space="0" w:color="auto"/>
        <w:right w:val="none" w:sz="0" w:space="0" w:color="auto"/>
      </w:divBdr>
    </w:div>
    <w:div w:id="161732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5.emf"/><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Excel_Worksheet.xls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D7796-8B3C-462D-B842-916DCB18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2017-10-26T19:53:00Z</dcterms:created>
  <dcterms:modified xsi:type="dcterms:W3CDTF">2017-10-26T19:53:00Z</dcterms:modified>
</cp:coreProperties>
</file>